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F5" w:rsidRPr="00182BA2" w:rsidRDefault="000834F5" w:rsidP="000834F5">
      <w:pPr>
        <w:jc w:val="center"/>
        <w:rPr>
          <w:highlight w:val="yellow"/>
        </w:rPr>
      </w:pPr>
      <w:r w:rsidRPr="00182BA2">
        <w:rPr>
          <w:highlight w:val="yellow"/>
        </w:rPr>
        <w:t>&lt;</w:t>
      </w:r>
      <w:proofErr w:type="gramStart"/>
      <w:r w:rsidRPr="00182BA2">
        <w:rPr>
          <w:highlight w:val="yellow"/>
        </w:rPr>
        <w:t>organization</w:t>
      </w:r>
      <w:proofErr w:type="gramEnd"/>
      <w:r w:rsidRPr="00182BA2">
        <w:rPr>
          <w:highlight w:val="yellow"/>
        </w:rPr>
        <w:t xml:space="preserve"> letterhead&gt;</w:t>
      </w:r>
    </w:p>
    <w:p w:rsidR="000834F5" w:rsidRPr="00182BA2" w:rsidRDefault="000834F5" w:rsidP="000834F5">
      <w:pPr>
        <w:spacing w:after="0"/>
        <w:jc w:val="right"/>
        <w:rPr>
          <w:highlight w:val="yellow"/>
        </w:rPr>
      </w:pPr>
      <w:r w:rsidRPr="00182BA2">
        <w:rPr>
          <w:highlight w:val="yellow"/>
        </w:rPr>
        <w:t>&lt;</w:t>
      </w:r>
      <w:proofErr w:type="gramStart"/>
      <w:r w:rsidRPr="00182BA2">
        <w:rPr>
          <w:highlight w:val="yellow"/>
        </w:rPr>
        <w:t>insert</w:t>
      </w:r>
      <w:proofErr w:type="gramEnd"/>
      <w:r w:rsidRPr="00182BA2">
        <w:rPr>
          <w:highlight w:val="yellow"/>
        </w:rPr>
        <w:t xml:space="preserve"> name of organization&gt;</w:t>
      </w:r>
    </w:p>
    <w:p w:rsidR="000834F5" w:rsidRPr="00182BA2" w:rsidRDefault="000834F5" w:rsidP="000834F5">
      <w:pPr>
        <w:spacing w:after="0"/>
        <w:jc w:val="right"/>
        <w:rPr>
          <w:highlight w:val="yellow"/>
        </w:rPr>
      </w:pPr>
      <w:r>
        <w:rPr>
          <w:highlight w:val="yellow"/>
        </w:rPr>
        <w:t xml:space="preserve">&lt; </w:t>
      </w:r>
      <w:proofErr w:type="gramStart"/>
      <w:r>
        <w:rPr>
          <w:highlight w:val="yellow"/>
        </w:rPr>
        <w:t>insert</w:t>
      </w:r>
      <w:proofErr w:type="gramEnd"/>
      <w:r>
        <w:rPr>
          <w:highlight w:val="yellow"/>
        </w:rPr>
        <w:t xml:space="preserve"> address</w:t>
      </w:r>
      <w:r w:rsidRPr="00182BA2">
        <w:rPr>
          <w:highlight w:val="yellow"/>
        </w:rPr>
        <w:t>&gt;</w:t>
      </w:r>
    </w:p>
    <w:p w:rsidR="000834F5" w:rsidRDefault="000834F5" w:rsidP="000834F5">
      <w:pPr>
        <w:spacing w:after="0"/>
        <w:jc w:val="right"/>
        <w:rPr>
          <w:highlight w:val="yellow"/>
        </w:rPr>
      </w:pPr>
    </w:p>
    <w:p w:rsidR="000834F5" w:rsidRDefault="000834F5" w:rsidP="000834F5">
      <w:pPr>
        <w:spacing w:after="0"/>
        <w:jc w:val="right"/>
      </w:pPr>
      <w:r w:rsidRPr="00182BA2">
        <w:rPr>
          <w:highlight w:val="yellow"/>
        </w:rPr>
        <w:t>&lt;</w:t>
      </w:r>
      <w:proofErr w:type="gramStart"/>
      <w:r w:rsidRPr="00182BA2">
        <w:rPr>
          <w:highlight w:val="yellow"/>
        </w:rPr>
        <w:t>insert</w:t>
      </w:r>
      <w:proofErr w:type="gramEnd"/>
      <w:r w:rsidRPr="00182BA2">
        <w:rPr>
          <w:highlight w:val="yellow"/>
        </w:rPr>
        <w:t xml:space="preserve"> date&gt;</w:t>
      </w:r>
    </w:p>
    <w:p w:rsidR="000834F5" w:rsidRDefault="000834F5" w:rsidP="000834F5"/>
    <w:p w:rsidR="000834F5" w:rsidRDefault="000834F5" w:rsidP="000834F5">
      <w:r>
        <w:t>Dear Canadian Society for Medical Laboratory Science (CSMLS),</w:t>
      </w:r>
    </w:p>
    <w:p w:rsidR="000834F5" w:rsidRDefault="000834F5" w:rsidP="000834F5">
      <w:r>
        <w:t xml:space="preserve">I am writing, on behalf of </w:t>
      </w:r>
      <w:r w:rsidRPr="00182BA2">
        <w:rPr>
          <w:rFonts w:cstheme="minorHAnsi"/>
          <w:highlight w:val="yellow"/>
          <w:lang w:val="en-US"/>
        </w:rPr>
        <w:t>&lt;</w:t>
      </w:r>
      <w:r>
        <w:rPr>
          <w:rFonts w:cstheme="minorHAnsi"/>
          <w:highlight w:val="yellow"/>
          <w:lang w:val="en-US"/>
        </w:rPr>
        <w:t>Organization/</w:t>
      </w:r>
      <w:proofErr w:type="gramStart"/>
      <w:r>
        <w:rPr>
          <w:rFonts w:cstheme="minorHAnsi"/>
          <w:highlight w:val="yellow"/>
          <w:lang w:val="en-US"/>
        </w:rPr>
        <w:t>department;</w:t>
      </w:r>
      <w:proofErr w:type="gramEnd"/>
      <w:r w:rsidRPr="00182BA2">
        <w:rPr>
          <w:rFonts w:cstheme="minorHAnsi"/>
          <w:highlight w:val="yellow"/>
          <w:lang w:val="en-US"/>
        </w:rPr>
        <w:t>&gt;</w:t>
      </w:r>
      <w:r>
        <w:rPr>
          <w:rFonts w:cstheme="minorHAnsi"/>
          <w:lang w:val="en-US"/>
        </w:rPr>
        <w:t>,</w:t>
      </w:r>
      <w:r w:rsidRPr="00182BA2">
        <w:rPr>
          <w:rFonts w:cstheme="minorHAnsi"/>
          <w:lang w:val="en-US"/>
        </w:rPr>
        <w:t xml:space="preserve"> </w:t>
      </w:r>
      <w:r>
        <w:t xml:space="preserve">to provide support for the CSMLS advocacy initiative and contribute to efforts that reduce the health human resource (HHR) shortage of medical laboratory technologists (MLTs) in Canada. </w:t>
      </w:r>
    </w:p>
    <w:p w:rsidR="000834F5" w:rsidRDefault="000834F5" w:rsidP="000834F5">
      <w:r>
        <w:t xml:space="preserve">In alignment with </w:t>
      </w:r>
      <w:r w:rsidRPr="001833DD">
        <w:t xml:space="preserve">CSMLS </w:t>
      </w:r>
      <w:r>
        <w:t xml:space="preserve">views, </w:t>
      </w:r>
      <w:r w:rsidRPr="00182BA2">
        <w:rPr>
          <w:rFonts w:cstheme="minorHAnsi"/>
          <w:highlight w:val="yellow"/>
          <w:lang w:val="en-US"/>
        </w:rPr>
        <w:t>&lt;Organization name&gt;</w:t>
      </w:r>
      <w:r w:rsidRPr="00182BA2">
        <w:rPr>
          <w:rFonts w:cstheme="minorHAnsi"/>
          <w:lang w:val="en-US"/>
        </w:rPr>
        <w:t xml:space="preserve"> </w:t>
      </w:r>
      <w:r>
        <w:t>has high</w:t>
      </w:r>
      <w:r w:rsidRPr="001833DD">
        <w:t xml:space="preserve"> expectations of the </w:t>
      </w:r>
      <w:r>
        <w:t xml:space="preserve">testing quality </w:t>
      </w:r>
      <w:r w:rsidRPr="001833DD">
        <w:t xml:space="preserve">produced by Canada’s </w:t>
      </w:r>
      <w:r>
        <w:t>laboratory workforce. We believe MLT</w:t>
      </w:r>
      <w:r w:rsidRPr="001833DD">
        <w:t xml:space="preserve">s are integral in this process and that informed and committed </w:t>
      </w:r>
      <w:r>
        <w:t xml:space="preserve">laboratories, </w:t>
      </w:r>
      <w:r w:rsidRPr="001833DD">
        <w:t xml:space="preserve">academic </w:t>
      </w:r>
      <w:r>
        <w:t>programs</w:t>
      </w:r>
      <w:r w:rsidRPr="001833DD">
        <w:t xml:space="preserve"> </w:t>
      </w:r>
      <w:r w:rsidRPr="00777E9D">
        <w:rPr>
          <w:noProof/>
        </w:rPr>
        <w:t>and</w:t>
      </w:r>
      <w:r>
        <w:t xml:space="preserve"> professionals </w:t>
      </w:r>
      <w:r w:rsidRPr="001833DD">
        <w:t>are central to taking action</w:t>
      </w:r>
      <w:r>
        <w:t xml:space="preserve"> against the HHR shortage</w:t>
      </w:r>
      <w:r w:rsidRPr="001833DD">
        <w:t>.</w:t>
      </w:r>
      <w:r>
        <w:t xml:space="preserve"> The CSMLS advocacy initiative, ultimately, aspires to ensure patients </w:t>
      </w:r>
      <w:r w:rsidRPr="00777E9D">
        <w:rPr>
          <w:noProof/>
        </w:rPr>
        <w:t>continue</w:t>
      </w:r>
      <w:r>
        <w:t xml:space="preserve"> to receive timely support and high-quality laboratory services by qualified MLTs. </w:t>
      </w:r>
    </w:p>
    <w:p w:rsidR="000834F5" w:rsidRDefault="000834F5" w:rsidP="000834F5">
      <w:pPr>
        <w:pStyle w:val="CSMLS-Body"/>
        <w:spacing w:line="276" w:lineRule="auto"/>
        <w:rPr>
          <w:rFonts w:asciiTheme="minorHAnsi" w:eastAsia="Rockwell,MinionPro-Regular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I acknowledge</w:t>
      </w:r>
      <w:r w:rsidRPr="00182BA2">
        <w:rPr>
          <w:rFonts w:asciiTheme="minorHAnsi" w:hAnsiTheme="minorHAnsi" w:cstheme="minorHAnsi"/>
          <w:szCs w:val="22"/>
          <w:lang w:val="en-US"/>
        </w:rPr>
        <w:t xml:space="preserve"> that Canada is facing a serious HHR shortage of MLTs and recognize that the profession</w:t>
      </w:r>
      <w:r>
        <w:rPr>
          <w:rFonts w:asciiTheme="minorHAnsi" w:hAnsiTheme="minorHAnsi" w:cstheme="minorHAnsi"/>
          <w:szCs w:val="22"/>
          <w:lang w:val="en-US"/>
        </w:rPr>
        <w:t xml:space="preserve">, health care teams and patients will be negatively affected if academic programs are not supported in their efforts to increase the number of enrolled students. </w:t>
      </w:r>
      <w:r w:rsidRPr="0018471C">
        <w:rPr>
          <w:rFonts w:asciiTheme="minorHAnsi" w:hAnsiTheme="minorHAnsi" w:cstheme="minorHAnsi"/>
          <w:szCs w:val="22"/>
          <w:lang w:val="en-US"/>
        </w:rPr>
        <w:t>In 2010</w:t>
      </w:r>
      <w:r>
        <w:rPr>
          <w:rFonts w:asciiTheme="minorHAnsi" w:hAnsiTheme="minorHAnsi" w:cstheme="minorHAnsi"/>
          <w:szCs w:val="22"/>
          <w:lang w:val="en-US"/>
        </w:rPr>
        <w:t>,</w:t>
      </w:r>
      <w:r w:rsidRPr="0018471C">
        <w:rPr>
          <w:rFonts w:asciiTheme="minorHAnsi" w:hAnsiTheme="minorHAnsi" w:cstheme="minorHAnsi"/>
          <w:szCs w:val="22"/>
          <w:lang w:val="en-US"/>
        </w:rPr>
        <w:t xml:space="preserve"> the Canadian Institute for Health Information (CIHI) identified that </w:t>
      </w:r>
      <w:bookmarkStart w:id="0" w:name="_GoBack"/>
      <w:r w:rsidR="0050484C">
        <w:fldChar w:fldCharType="begin"/>
      </w:r>
      <w:r w:rsidR="0050484C">
        <w:instrText>HYPERLINK "https://secure.cihi.ca/free_products/MLT_2010_Report_EN-web.pdf"</w:instrText>
      </w:r>
      <w:r w:rsidR="0050484C">
        <w:fldChar w:fldCharType="separate"/>
      </w:r>
      <w:r w:rsidRPr="0018471C">
        <w:rPr>
          <w:rStyle w:val="Hyperlink"/>
          <w:rFonts w:asciiTheme="minorHAnsi" w:hAnsiTheme="minorHAnsi" w:cstheme="minorHAnsi"/>
          <w:szCs w:val="22"/>
          <w:lang w:val="en-US"/>
        </w:rPr>
        <w:t xml:space="preserve">approximately </w:t>
      </w:r>
      <w:r w:rsidRPr="0018471C">
        <w:rPr>
          <w:rStyle w:val="Hyperlink"/>
          <w:rFonts w:asciiTheme="minorHAnsi" w:eastAsia="Rockwell,MinionPro-Regular" w:hAnsiTheme="minorHAnsi" w:cstheme="minorHAnsi"/>
          <w:szCs w:val="22"/>
          <w:lang w:val="en-US"/>
        </w:rPr>
        <w:t xml:space="preserve">half of all MLTs would be eligible to retire </w:t>
      </w:r>
      <w:r>
        <w:rPr>
          <w:rStyle w:val="Hyperlink"/>
          <w:rFonts w:asciiTheme="minorHAnsi" w:eastAsia="Rockwell,MinionPro-Regular" w:hAnsiTheme="minorHAnsi" w:cstheme="minorHAnsi"/>
          <w:szCs w:val="22"/>
          <w:lang w:val="en-US"/>
        </w:rPr>
        <w:t>within</w:t>
      </w:r>
      <w:r w:rsidR="00CA75E6">
        <w:rPr>
          <w:rStyle w:val="Hyperlink"/>
          <w:rFonts w:asciiTheme="minorHAnsi" w:eastAsia="Rockwell,MinionPro-Regular" w:hAnsiTheme="minorHAnsi" w:cstheme="minorHAnsi"/>
          <w:szCs w:val="22"/>
          <w:lang w:val="en-US"/>
        </w:rPr>
        <w:t xml:space="preserve"> </w:t>
      </w:r>
      <w:r w:rsidRPr="0018471C">
        <w:rPr>
          <w:rStyle w:val="Hyperlink"/>
          <w:rFonts w:asciiTheme="minorHAnsi" w:eastAsia="Rockwell,MinionPro-Regular" w:hAnsiTheme="minorHAnsi" w:cstheme="minorHAnsi"/>
          <w:szCs w:val="22"/>
          <w:lang w:val="en-US"/>
        </w:rPr>
        <w:t>10 years</w:t>
      </w:r>
      <w:r w:rsidR="0050484C">
        <w:rPr>
          <w:rStyle w:val="Hyperlink"/>
          <w:rFonts w:asciiTheme="minorHAnsi" w:eastAsia="Rockwell,MinionPro-Regular" w:hAnsiTheme="minorHAnsi" w:cstheme="minorHAnsi"/>
          <w:szCs w:val="22"/>
          <w:lang w:val="en-US"/>
        </w:rPr>
        <w:fldChar w:fldCharType="end"/>
      </w:r>
      <w:r w:rsidRPr="0018471C">
        <w:rPr>
          <w:rFonts w:asciiTheme="minorHAnsi" w:eastAsia="Rockwell,MinionPro-Regular" w:hAnsiTheme="minorHAnsi" w:cstheme="minorHAnsi"/>
          <w:szCs w:val="22"/>
          <w:lang w:val="en-US"/>
        </w:rPr>
        <w:t xml:space="preserve">, with the </w:t>
      </w:r>
      <w:r w:rsidRPr="00182BA2">
        <w:rPr>
          <w:rFonts w:asciiTheme="minorHAnsi" w:eastAsia="Rockwell,MinionPro-Regular" w:hAnsiTheme="minorHAnsi" w:cstheme="minorHAnsi"/>
          <w:szCs w:val="22"/>
          <w:lang w:val="en-US"/>
        </w:rPr>
        <w:t xml:space="preserve">greatest impact felt in Canada’s rural and remote </w:t>
      </w:r>
      <w:bookmarkEnd w:id="0"/>
      <w:r w:rsidRPr="00182BA2">
        <w:rPr>
          <w:rFonts w:asciiTheme="minorHAnsi" w:eastAsia="Rockwell,MinionPro-Regular" w:hAnsiTheme="minorHAnsi" w:cstheme="minorHAnsi"/>
          <w:szCs w:val="22"/>
          <w:lang w:val="en-US"/>
        </w:rPr>
        <w:t>communities</w:t>
      </w:r>
      <w:r w:rsidRPr="0018471C">
        <w:rPr>
          <w:rFonts w:asciiTheme="minorHAnsi" w:eastAsia="Rockwell,MinionPro-Regular" w:hAnsiTheme="minorHAnsi" w:cstheme="minorHAnsi"/>
          <w:szCs w:val="22"/>
          <w:lang w:val="en-US"/>
        </w:rPr>
        <w:t>.</w:t>
      </w:r>
      <w:r>
        <w:rPr>
          <w:rFonts w:asciiTheme="minorHAnsi" w:eastAsia="Rockwell,MinionPro-Regular" w:hAnsiTheme="minorHAnsi" w:cstheme="minorHAnsi"/>
          <w:szCs w:val="22"/>
          <w:lang w:val="en-US"/>
        </w:rPr>
        <w:t xml:space="preserve"> </w:t>
      </w:r>
      <w:r w:rsidRPr="00682974">
        <w:rPr>
          <w:rFonts w:asciiTheme="minorHAnsi" w:eastAsia="Rockwell,MinionPro-Regular" w:hAnsiTheme="minorHAnsi" w:cstheme="minorHAnsi"/>
          <w:szCs w:val="22"/>
          <w:lang w:val="en-US"/>
        </w:rPr>
        <w:t>This period of time has closed in on the professional community</w:t>
      </w:r>
      <w:r>
        <w:rPr>
          <w:rFonts w:asciiTheme="minorHAnsi" w:eastAsia="Rockwell,MinionPro-Regular" w:hAnsiTheme="minorHAnsi" w:cstheme="minorHAnsi"/>
          <w:szCs w:val="22"/>
          <w:lang w:val="en-US"/>
        </w:rPr>
        <w:t xml:space="preserve"> and its </w:t>
      </w:r>
      <w:hyperlink r:id="rId5" w:history="1">
        <w:r w:rsidRPr="00D844D2">
          <w:rPr>
            <w:rStyle w:val="Hyperlink"/>
            <w:rFonts w:asciiTheme="minorHAnsi" w:eastAsia="Rockwell,MinionPro-Regular" w:hAnsiTheme="minorHAnsi" w:cstheme="minorHAnsi"/>
            <w:szCs w:val="22"/>
            <w:lang w:val="en-US"/>
          </w:rPr>
          <w:t>negative effects are evident</w:t>
        </w:r>
      </w:hyperlink>
      <w:r w:rsidRPr="00FD2F3B">
        <w:rPr>
          <w:rFonts w:asciiTheme="minorHAnsi" w:eastAsia="Rockwell,MinionPro-Regular" w:hAnsiTheme="minorHAnsi" w:cstheme="minorHAnsi"/>
          <w:szCs w:val="22"/>
          <w:lang w:val="en-US"/>
        </w:rPr>
        <w:t xml:space="preserve">. </w:t>
      </w:r>
    </w:p>
    <w:p w:rsidR="000834F5" w:rsidRDefault="000834F5" w:rsidP="000834F5">
      <w:r>
        <w:rPr>
          <w:rFonts w:cstheme="minorHAnsi"/>
        </w:rPr>
        <w:t xml:space="preserve">According to </w:t>
      </w:r>
      <w:hyperlink r:id="rId6" w:history="1">
        <w:r w:rsidRPr="00D844D2">
          <w:rPr>
            <w:rStyle w:val="Hyperlink"/>
            <w:rFonts w:cstheme="minorHAnsi"/>
          </w:rPr>
          <w:t>evidence collected by CSMLS</w:t>
        </w:r>
      </w:hyperlink>
      <w:r>
        <w:rPr>
          <w:rFonts w:cstheme="minorHAnsi"/>
        </w:rPr>
        <w:t>, t</w:t>
      </w:r>
      <w:r w:rsidRPr="002A6D4D">
        <w:rPr>
          <w:rFonts w:cstheme="minorHAnsi"/>
        </w:rPr>
        <w:t xml:space="preserve">he number of </w:t>
      </w:r>
      <w:r>
        <w:rPr>
          <w:rFonts w:cstheme="minorHAnsi"/>
        </w:rPr>
        <w:t xml:space="preserve">clinical placement sites for </w:t>
      </w:r>
      <w:r w:rsidRPr="002A6D4D">
        <w:rPr>
          <w:rFonts w:cstheme="minorHAnsi"/>
        </w:rPr>
        <w:t xml:space="preserve">laboratory students </w:t>
      </w:r>
      <w:r w:rsidRPr="002A6D4D">
        <w:rPr>
          <w:rFonts w:cstheme="minorHAnsi"/>
          <w:noProof/>
        </w:rPr>
        <w:t>is</w:t>
      </w:r>
      <w:r w:rsidRPr="002A6D4D">
        <w:rPr>
          <w:rFonts w:cstheme="minorHAnsi"/>
        </w:rPr>
        <w:t xml:space="preserve"> decreasing. This is increasing the burden on the remaining clinical sites to uphold the high standard of quality training required by </w:t>
      </w:r>
      <w:r>
        <w:rPr>
          <w:rFonts w:cstheme="minorHAnsi"/>
        </w:rPr>
        <w:t xml:space="preserve">MLT </w:t>
      </w:r>
      <w:r w:rsidRPr="002A6D4D">
        <w:rPr>
          <w:rFonts w:cstheme="minorHAnsi"/>
        </w:rPr>
        <w:t>students</w:t>
      </w:r>
      <w:r>
        <w:t xml:space="preserve"> to achieve competency. Academic programs require a clinical placement site and reserved spot prior to admitting a student, creating a system bottleneck. </w:t>
      </w:r>
    </w:p>
    <w:p w:rsidR="000834F5" w:rsidRPr="00913DC5" w:rsidRDefault="000834F5" w:rsidP="000834F5">
      <w:pPr>
        <w:pStyle w:val="CSMLS-Body"/>
        <w:spacing w:line="276" w:lineRule="auto"/>
        <w:rPr>
          <w:rFonts w:asciiTheme="minorHAnsi" w:hAnsiTheme="minorHAnsi" w:cstheme="minorHAnsi"/>
          <w:b/>
          <w:szCs w:val="22"/>
          <w:lang w:val="en-US"/>
        </w:rPr>
      </w:pPr>
      <w:r w:rsidRPr="00913DC5">
        <w:rPr>
          <w:rFonts w:asciiTheme="minorHAnsi" w:hAnsiTheme="minorHAnsi" w:cstheme="minorHAnsi"/>
          <w:b/>
          <w:szCs w:val="22"/>
          <w:highlight w:val="yellow"/>
          <w:lang w:val="en-US"/>
        </w:rPr>
        <w:t>&lt;Organization name&gt;</w:t>
      </w:r>
      <w:r w:rsidRPr="00913DC5">
        <w:rPr>
          <w:rFonts w:asciiTheme="minorHAnsi" w:hAnsiTheme="minorHAnsi" w:cstheme="minorHAnsi"/>
          <w:b/>
          <w:szCs w:val="22"/>
          <w:lang w:val="en-US"/>
        </w:rPr>
        <w:t xml:space="preserve"> is committed to evaluating </w:t>
      </w:r>
      <w:r>
        <w:rPr>
          <w:rFonts w:asciiTheme="minorHAnsi" w:hAnsiTheme="minorHAnsi" w:cstheme="minorHAnsi"/>
          <w:b/>
          <w:noProof/>
          <w:szCs w:val="22"/>
          <w:lang w:val="en-US"/>
        </w:rPr>
        <w:t xml:space="preserve">the </w:t>
      </w:r>
      <w:r w:rsidRPr="00913DC5">
        <w:rPr>
          <w:rFonts w:asciiTheme="minorHAnsi" w:hAnsiTheme="minorHAnsi" w:cstheme="minorHAnsi"/>
          <w:b/>
          <w:szCs w:val="22"/>
          <w:lang w:val="en-US"/>
        </w:rPr>
        <w:t>&lt;</w:t>
      </w:r>
      <w:r w:rsidRPr="00913DC5">
        <w:rPr>
          <w:rFonts w:asciiTheme="minorHAnsi" w:hAnsiTheme="minorHAnsi" w:cstheme="minorHAnsi"/>
          <w:b/>
          <w:szCs w:val="22"/>
          <w:highlight w:val="yellow"/>
          <w:lang w:val="en-US"/>
        </w:rPr>
        <w:t>laboratory/</w:t>
      </w:r>
      <w:r w:rsidRPr="00556C1D">
        <w:rPr>
          <w:rFonts w:asciiTheme="minorHAnsi" w:hAnsiTheme="minorHAnsi" w:cstheme="minorHAnsi"/>
          <w:b/>
          <w:szCs w:val="22"/>
          <w:highlight w:val="yellow"/>
          <w:lang w:val="en-US"/>
        </w:rPr>
        <w:t>clinical department</w:t>
      </w:r>
      <w:r w:rsidRPr="00913DC5">
        <w:rPr>
          <w:rFonts w:asciiTheme="minorHAnsi" w:hAnsiTheme="minorHAnsi" w:cstheme="minorHAnsi"/>
          <w:b/>
          <w:szCs w:val="22"/>
          <w:lang w:val="en-US"/>
        </w:rPr>
        <w:t>&gt; in 2018 and determin</w:t>
      </w:r>
      <w:r>
        <w:rPr>
          <w:rFonts w:asciiTheme="minorHAnsi" w:hAnsiTheme="minorHAnsi" w:cstheme="minorHAnsi"/>
          <w:b/>
          <w:szCs w:val="22"/>
          <w:lang w:val="en-US"/>
        </w:rPr>
        <w:t>ing</w:t>
      </w:r>
      <w:r w:rsidRPr="00913DC5">
        <w:rPr>
          <w:rFonts w:asciiTheme="minorHAnsi" w:hAnsiTheme="minorHAnsi" w:cstheme="minorHAnsi"/>
          <w:b/>
          <w:szCs w:val="22"/>
          <w:lang w:val="en-US"/>
        </w:rPr>
        <w:t xml:space="preserve"> whether MLT students can be received for clinical placement training in the near future. </w:t>
      </w:r>
    </w:p>
    <w:p w:rsidR="000834F5" w:rsidRDefault="000834F5" w:rsidP="000834F5">
      <w:pPr>
        <w:pStyle w:val="CSMLS-Body"/>
        <w:spacing w:line="276" w:lineRule="auto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 xml:space="preserve">I welcome discussions with academic programs across Canada, accreditors and other stakeholders to ensure that conversations produce viable and sustainable action plans. Although our organization may or may not be able </w:t>
      </w:r>
      <w:proofErr w:type="gramStart"/>
      <w:r>
        <w:rPr>
          <w:rFonts w:asciiTheme="minorHAnsi" w:hAnsiTheme="minorHAnsi" w:cstheme="minorHAnsi"/>
          <w:szCs w:val="22"/>
          <w:lang w:val="en-US"/>
        </w:rPr>
        <w:t>to  support</w:t>
      </w:r>
      <w:proofErr w:type="gramEnd"/>
      <w:r>
        <w:rPr>
          <w:rFonts w:asciiTheme="minorHAnsi" w:hAnsiTheme="minorHAnsi" w:cstheme="minorHAnsi"/>
          <w:szCs w:val="22"/>
          <w:lang w:val="en-US"/>
        </w:rPr>
        <w:t xml:space="preserve"> the evaluation of all CSMLS MLT competencies, I recognize that providing students with the experience and exposure to some competencies is vital in the HHR collaborative model CSMLS stands behind. </w:t>
      </w:r>
    </w:p>
    <w:p w:rsidR="000834F5" w:rsidRPr="00913DC5" w:rsidRDefault="000834F5" w:rsidP="000834F5">
      <w:pPr>
        <w:pStyle w:val="CSMLS-Body"/>
        <w:spacing w:line="276" w:lineRule="auto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 xml:space="preserve">In addition, I am committed to discussions internally regarding the hiring of clinical placement students who have been certified and determining/enhancing the potential for streamlining employment opportunities. A component of this discussion will include the evaluation of precarious </w:t>
      </w:r>
      <w:r w:rsidRPr="00913DC5">
        <w:rPr>
          <w:rFonts w:asciiTheme="minorHAnsi" w:hAnsiTheme="minorHAnsi" w:cstheme="minorHAnsi"/>
          <w:szCs w:val="22"/>
          <w:lang w:val="en-US"/>
        </w:rPr>
        <w:t>positions and the impact of this on the medical laboratory professionals our organization employs.</w:t>
      </w:r>
    </w:p>
    <w:p w:rsidR="000834F5" w:rsidRDefault="000834F5" w:rsidP="000834F5">
      <w:pPr>
        <w:pStyle w:val="CSMLS-Body"/>
        <w:spacing w:line="276" w:lineRule="auto"/>
        <w:rPr>
          <w:rFonts w:asciiTheme="minorHAnsi" w:hAnsiTheme="minorHAnsi"/>
        </w:rPr>
      </w:pPr>
      <w:r w:rsidRPr="00913DC5">
        <w:rPr>
          <w:rFonts w:asciiTheme="minorHAnsi" w:hAnsiTheme="minorHAnsi"/>
        </w:rPr>
        <w:t xml:space="preserve">I hope other </w:t>
      </w:r>
      <w:r w:rsidRPr="00777E9D">
        <w:rPr>
          <w:rFonts w:asciiTheme="minorHAnsi" w:hAnsiTheme="minorHAnsi"/>
          <w:noProof/>
        </w:rPr>
        <w:t>health care</w:t>
      </w:r>
      <w:r w:rsidRPr="00913DC5">
        <w:rPr>
          <w:rFonts w:asciiTheme="minorHAnsi" w:hAnsiTheme="minorHAnsi"/>
        </w:rPr>
        <w:t xml:space="preserve"> organizations </w:t>
      </w:r>
      <w:r>
        <w:rPr>
          <w:rFonts w:asciiTheme="minorHAnsi" w:hAnsiTheme="minorHAnsi"/>
        </w:rPr>
        <w:t xml:space="preserve">recognize </w:t>
      </w:r>
      <w:r w:rsidRPr="00913DC5">
        <w:rPr>
          <w:rFonts w:asciiTheme="minorHAnsi" w:hAnsiTheme="minorHAnsi"/>
        </w:rPr>
        <w:t xml:space="preserve">the importance of increasing opportunities for clinical placement training of MLT students and work with </w:t>
      </w:r>
      <w:r>
        <w:rPr>
          <w:rFonts w:asciiTheme="minorHAnsi" w:hAnsiTheme="minorHAnsi"/>
        </w:rPr>
        <w:t xml:space="preserve">us and </w:t>
      </w:r>
      <w:r w:rsidRPr="00913DC5">
        <w:rPr>
          <w:rFonts w:asciiTheme="minorHAnsi" w:hAnsiTheme="minorHAnsi"/>
        </w:rPr>
        <w:t xml:space="preserve">CSMLS to create a </w:t>
      </w:r>
      <w:r>
        <w:rPr>
          <w:rFonts w:asciiTheme="minorHAnsi" w:hAnsiTheme="minorHAnsi"/>
        </w:rPr>
        <w:t>strong</w:t>
      </w:r>
      <w:r w:rsidRPr="00913DC5">
        <w:rPr>
          <w:rFonts w:asciiTheme="minorHAnsi" w:hAnsiTheme="minorHAnsi"/>
        </w:rPr>
        <w:t xml:space="preserve"> HHR solution.</w:t>
      </w:r>
    </w:p>
    <w:p w:rsidR="000834F5" w:rsidRDefault="000834F5" w:rsidP="000834F5">
      <w:pPr>
        <w:pStyle w:val="CSMLS-Body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Sincerely,</w:t>
      </w:r>
    </w:p>
    <w:p w:rsidR="000834F5" w:rsidRPr="00913DC5" w:rsidRDefault="000834F5" w:rsidP="000834F5">
      <w:pPr>
        <w:pStyle w:val="CSMLS-Body"/>
        <w:spacing w:line="276" w:lineRule="auto"/>
        <w:rPr>
          <w:rFonts w:asciiTheme="minorHAnsi" w:hAnsiTheme="minorHAnsi"/>
          <w:highlight w:val="yellow"/>
        </w:rPr>
      </w:pPr>
      <w:r w:rsidRPr="00913DC5">
        <w:rPr>
          <w:rFonts w:asciiTheme="minorHAnsi" w:hAnsiTheme="minorHAnsi"/>
          <w:highlight w:val="yellow"/>
        </w:rPr>
        <w:t>&lt;</w:t>
      </w:r>
      <w:proofErr w:type="gramStart"/>
      <w:r w:rsidRPr="00913DC5">
        <w:rPr>
          <w:rFonts w:asciiTheme="minorHAnsi" w:hAnsiTheme="minorHAnsi"/>
          <w:highlight w:val="yellow"/>
        </w:rPr>
        <w:t>signature</w:t>
      </w:r>
      <w:proofErr w:type="gramEnd"/>
      <w:r w:rsidRPr="00913DC5">
        <w:rPr>
          <w:rFonts w:asciiTheme="minorHAnsi" w:hAnsiTheme="minorHAnsi"/>
          <w:highlight w:val="yellow"/>
        </w:rPr>
        <w:t>&gt;</w:t>
      </w:r>
    </w:p>
    <w:p w:rsidR="000834F5" w:rsidRPr="00913DC5" w:rsidRDefault="000834F5" w:rsidP="000834F5">
      <w:pPr>
        <w:pStyle w:val="CSMLS-Body"/>
        <w:spacing w:after="0" w:line="276" w:lineRule="auto"/>
        <w:rPr>
          <w:rFonts w:asciiTheme="minorHAnsi" w:hAnsiTheme="minorHAnsi"/>
          <w:highlight w:val="yellow"/>
        </w:rPr>
      </w:pPr>
      <w:r w:rsidRPr="00913DC5">
        <w:rPr>
          <w:rFonts w:asciiTheme="minorHAnsi" w:hAnsiTheme="minorHAnsi"/>
          <w:highlight w:val="yellow"/>
        </w:rPr>
        <w:t>&lt;</w:t>
      </w:r>
      <w:proofErr w:type="gramStart"/>
      <w:r w:rsidRPr="00913DC5">
        <w:rPr>
          <w:rFonts w:asciiTheme="minorHAnsi" w:hAnsiTheme="minorHAnsi"/>
          <w:highlight w:val="yellow"/>
        </w:rPr>
        <w:t>full</w:t>
      </w:r>
      <w:proofErr w:type="gramEnd"/>
      <w:r w:rsidRPr="00913DC5">
        <w:rPr>
          <w:rFonts w:asciiTheme="minorHAnsi" w:hAnsiTheme="minorHAnsi"/>
          <w:highlight w:val="yellow"/>
        </w:rPr>
        <w:t xml:space="preserve"> name&gt;</w:t>
      </w:r>
    </w:p>
    <w:p w:rsidR="000834F5" w:rsidRPr="00913DC5" w:rsidRDefault="000834F5" w:rsidP="000834F5">
      <w:pPr>
        <w:pStyle w:val="CSMLS-Body"/>
        <w:spacing w:after="0" w:line="276" w:lineRule="auto"/>
        <w:rPr>
          <w:rFonts w:asciiTheme="minorHAnsi" w:hAnsiTheme="minorHAnsi"/>
          <w:highlight w:val="yellow"/>
        </w:rPr>
      </w:pPr>
      <w:r w:rsidRPr="00913DC5">
        <w:rPr>
          <w:rFonts w:asciiTheme="minorHAnsi" w:hAnsiTheme="minorHAnsi"/>
          <w:highlight w:val="yellow"/>
        </w:rPr>
        <w:t>&lt;</w:t>
      </w:r>
      <w:proofErr w:type="gramStart"/>
      <w:r w:rsidRPr="00913DC5">
        <w:rPr>
          <w:rFonts w:asciiTheme="minorHAnsi" w:hAnsiTheme="minorHAnsi"/>
          <w:highlight w:val="yellow"/>
        </w:rPr>
        <w:t>organization</w:t>
      </w:r>
      <w:proofErr w:type="gramEnd"/>
      <w:r w:rsidRPr="00913DC5">
        <w:rPr>
          <w:rFonts w:asciiTheme="minorHAnsi" w:hAnsiTheme="minorHAnsi"/>
          <w:highlight w:val="yellow"/>
        </w:rPr>
        <w:t xml:space="preserve"> information&gt;</w:t>
      </w:r>
    </w:p>
    <w:p w:rsidR="00833481" w:rsidRDefault="000834F5" w:rsidP="000834F5">
      <w:pPr>
        <w:pStyle w:val="CSMLS-Body"/>
        <w:spacing w:after="0" w:line="276" w:lineRule="auto"/>
      </w:pPr>
      <w:r w:rsidRPr="00913DC5">
        <w:rPr>
          <w:rFonts w:asciiTheme="minorHAnsi" w:hAnsiTheme="minorHAnsi"/>
          <w:highlight w:val="yellow"/>
        </w:rPr>
        <w:t>&lt;contact information&gt;</w:t>
      </w:r>
    </w:p>
    <w:sectPr w:rsidR="00833481" w:rsidSect="00C5022C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,Minio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F5"/>
    <w:rsid w:val="000834F5"/>
    <w:rsid w:val="004B0A93"/>
    <w:rsid w:val="0050484C"/>
    <w:rsid w:val="00833481"/>
    <w:rsid w:val="00AA1BC1"/>
    <w:rsid w:val="00CA75E6"/>
    <w:rsid w:val="00E6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F5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0834F5"/>
    <w:pPr>
      <w:spacing w:after="160" w:line="240" w:lineRule="auto"/>
    </w:pPr>
    <w:rPr>
      <w:rFonts w:ascii="Rockwell" w:eastAsia="MS Mincho" w:hAnsi="Rockwell" w:cs="Times New Roman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083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F5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0834F5"/>
    <w:pPr>
      <w:spacing w:after="160" w:line="240" w:lineRule="auto"/>
    </w:pPr>
    <w:rPr>
      <w:rFonts w:ascii="Rockwell" w:eastAsia="MS Mincho" w:hAnsi="Rockwell" w:cs="Times New Roman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083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mls.org/csmls/media/documents/resources/SimulationandClinicalPlacementNationalForum.pdf" TargetMode="External"/><Relationship Id="rId5" Type="http://schemas.openxmlformats.org/officeDocument/2006/relationships/hyperlink" Target="https://www.csmls.org/csmls/media/documents/resources/Simulation-and-Clinical-Placement-Employer-Report-Summary-FINAL(2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 Desai</dc:creator>
  <cp:lastModifiedBy>Kartik Desai</cp:lastModifiedBy>
  <cp:revision>4</cp:revision>
  <dcterms:created xsi:type="dcterms:W3CDTF">2018-04-19T13:00:00Z</dcterms:created>
  <dcterms:modified xsi:type="dcterms:W3CDTF">2018-04-20T13:56:00Z</dcterms:modified>
</cp:coreProperties>
</file>