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A728" w14:textId="1E458F7D" w:rsidR="005031BF" w:rsidRPr="00984A4F" w:rsidRDefault="005031BF" w:rsidP="005031BF">
      <w:pPr>
        <w:pStyle w:val="Heading1"/>
        <w:spacing w:before="0"/>
        <w:jc w:val="center"/>
        <w:rPr>
          <w:rFonts w:ascii="Century Gothic" w:hAnsi="Century Gothic"/>
          <w:b/>
          <w:color w:val="auto"/>
        </w:rPr>
      </w:pPr>
      <w:r w:rsidRPr="00984A4F">
        <w:rPr>
          <w:rFonts w:ascii="Century Gothic" w:hAnsi="Century Gothic"/>
          <w:b/>
          <w:color w:val="auto"/>
        </w:rPr>
        <w:t xml:space="preserve">What’s the </w:t>
      </w:r>
      <w:r w:rsidR="00375A37">
        <w:rPr>
          <w:rFonts w:ascii="Century Gothic" w:hAnsi="Century Gothic"/>
          <w:b/>
          <w:color w:val="auto"/>
        </w:rPr>
        <w:t>Clinical</w:t>
      </w:r>
      <w:r>
        <w:rPr>
          <w:rFonts w:ascii="Century Gothic" w:hAnsi="Century Gothic"/>
          <w:b/>
          <w:color w:val="auto"/>
        </w:rPr>
        <w:t xml:space="preserve"> </w:t>
      </w:r>
      <w:r w:rsidRPr="00984A4F">
        <w:rPr>
          <w:rFonts w:ascii="Century Gothic" w:hAnsi="Century Gothic"/>
          <w:b/>
          <w:color w:val="auto"/>
        </w:rPr>
        <w:t>Conversation About?</w:t>
      </w:r>
    </w:p>
    <w:p w14:paraId="232EF3E6" w14:textId="341CB5FC" w:rsidR="00984A4F" w:rsidRDefault="00984A4F" w:rsidP="00CD6C01"/>
    <w:tbl>
      <w:tblPr>
        <w:tblStyle w:val="TableGrid"/>
        <w:tblpPr w:leftFromText="180" w:rightFromText="180" w:vertAnchor="text" w:horzAnchor="margin" w:tblpXSpec="center" w:tblpY="5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375A37" w:rsidRPr="002C65F8" w14:paraId="37B3E88E" w14:textId="77777777" w:rsidTr="00375A37">
        <w:tc>
          <w:tcPr>
            <w:tcW w:w="5000" w:type="pct"/>
          </w:tcPr>
          <w:p w14:paraId="6FB4F391" w14:textId="7DED29F7" w:rsidR="00375A37" w:rsidRPr="002C65F8" w:rsidRDefault="001D64E3" w:rsidP="00211A77">
            <w:pPr>
              <w:jc w:val="center"/>
              <w:rPr>
                <w:rFonts w:ascii="Rockwell" w:hAnsi="Rockwell"/>
                <w:i/>
                <w:color w:val="215868" w:themeColor="accent5" w:themeShade="80"/>
              </w:rPr>
            </w:pPr>
            <w:r>
              <w:rPr>
                <w:rFonts w:ascii="Rockwell" w:hAnsi="Rockwell"/>
                <w:i/>
                <w:color w:val="215868" w:themeColor="accent5" w:themeShade="80"/>
              </w:rPr>
              <w:t>“</w:t>
            </w:r>
            <w:r w:rsidRPr="00375A37">
              <w:rPr>
                <w:rFonts w:ascii="Rockwell" w:hAnsi="Rockwell"/>
                <w:i/>
                <w:color w:val="215868" w:themeColor="accent5" w:themeShade="80"/>
              </w:rPr>
              <w:t xml:space="preserve">Excluding professionals from </w:t>
            </w:r>
            <w:r>
              <w:rPr>
                <w:rFonts w:ascii="Rockwell" w:hAnsi="Rockwell"/>
                <w:i/>
                <w:color w:val="215868" w:themeColor="accent5" w:themeShade="80"/>
              </w:rPr>
              <w:t xml:space="preserve">[clinical] </w:t>
            </w:r>
            <w:r w:rsidRPr="00375A37">
              <w:rPr>
                <w:rFonts w:ascii="Rockwell" w:hAnsi="Rockwell"/>
                <w:i/>
                <w:color w:val="215868" w:themeColor="accent5" w:themeShade="80"/>
              </w:rPr>
              <w:t>conversations affecting the health</w:t>
            </w:r>
            <w:r>
              <w:rPr>
                <w:rFonts w:ascii="Rockwell" w:hAnsi="Rockwell"/>
                <w:i/>
                <w:color w:val="215868" w:themeColor="accent5" w:themeShade="80"/>
              </w:rPr>
              <w:t xml:space="preserve"> </w:t>
            </w:r>
            <w:r w:rsidRPr="00375A37">
              <w:rPr>
                <w:rFonts w:ascii="Rockwell" w:hAnsi="Rockwell"/>
                <w:i/>
                <w:color w:val="215868" w:themeColor="accent5" w:themeShade="80"/>
              </w:rPr>
              <w:t>care organization is a recipe for ineffective health</w:t>
            </w:r>
            <w:r w:rsidR="008F3593">
              <w:rPr>
                <w:rFonts w:ascii="Rockwell" w:hAnsi="Rockwell"/>
                <w:i/>
                <w:color w:val="215868" w:themeColor="accent5" w:themeShade="80"/>
              </w:rPr>
              <w:t xml:space="preserve"> </w:t>
            </w:r>
            <w:r w:rsidRPr="00375A37">
              <w:rPr>
                <w:rFonts w:ascii="Rockwell" w:hAnsi="Rockwell"/>
                <w:i/>
                <w:color w:val="215868" w:themeColor="accent5" w:themeShade="80"/>
              </w:rPr>
              <w:t>care. The advances in technology will make thing</w:t>
            </w:r>
            <w:r>
              <w:rPr>
                <w:rFonts w:ascii="Rockwell" w:hAnsi="Rockwell"/>
                <w:i/>
                <w:color w:val="215868" w:themeColor="accent5" w:themeShade="80"/>
              </w:rPr>
              <w:t>s</w:t>
            </w:r>
            <w:r w:rsidRPr="00375A37">
              <w:rPr>
                <w:rFonts w:ascii="Rockwell" w:hAnsi="Rockwell"/>
                <w:i/>
                <w:color w:val="215868" w:themeColor="accent5" w:themeShade="80"/>
              </w:rPr>
              <w:t xml:space="preserve"> worse as they reinforce ideas of lab professionals just being button pushers.</w:t>
            </w:r>
            <w:r>
              <w:rPr>
                <w:rFonts w:ascii="Rockwell" w:hAnsi="Rockwell"/>
                <w:i/>
                <w:color w:val="215868" w:themeColor="accent5" w:themeShade="80"/>
              </w:rPr>
              <w:t>”</w:t>
            </w:r>
          </w:p>
        </w:tc>
      </w:tr>
    </w:tbl>
    <w:p w14:paraId="5106972C" w14:textId="75AD1B15" w:rsidR="005031BF" w:rsidRPr="00984A4F" w:rsidRDefault="005031BF" w:rsidP="00125620">
      <w:pPr>
        <w:spacing w:line="240" w:lineRule="auto"/>
        <w:jc w:val="right"/>
      </w:pPr>
      <w:r w:rsidRPr="00984A4F">
        <w:t>~ CSMLS Members</w:t>
      </w:r>
    </w:p>
    <w:p w14:paraId="6D930D0A" w14:textId="02287F78" w:rsidR="00022F1D" w:rsidRDefault="00125620" w:rsidP="001B213F">
      <w:pPr>
        <w:spacing w:before="240"/>
        <w:rPr>
          <w:shd w:val="clear" w:color="auto" w:fill="FFFFFF"/>
        </w:rPr>
      </w:pPr>
      <w:r w:rsidRPr="00984A4F">
        <w:rPr>
          <w:b/>
        </w:rPr>
        <w:t>Why this topic?</w:t>
      </w:r>
      <w:r>
        <w:rPr>
          <w:b/>
        </w:rPr>
        <w:t xml:space="preserve"> </w:t>
      </w:r>
      <w:r w:rsidR="0027304E" w:rsidRPr="003C1E8D">
        <w:t xml:space="preserve">It should </w:t>
      </w:r>
      <w:r w:rsidR="003C1E8D" w:rsidRPr="003C1E8D">
        <w:t>be no surprise to learn that t</w:t>
      </w:r>
      <w:r w:rsidR="007D67C8" w:rsidRPr="00086754">
        <w:rPr>
          <w:shd w:val="clear" w:color="auto" w:fill="FFFFFF"/>
        </w:rPr>
        <w:t xml:space="preserve">he </w:t>
      </w:r>
      <w:r w:rsidR="004E7EA3" w:rsidRPr="00086754">
        <w:rPr>
          <w:shd w:val="clear" w:color="auto" w:fill="FFFFFF"/>
        </w:rPr>
        <w:t>Canadian health</w:t>
      </w:r>
      <w:r w:rsidR="007D67C8" w:rsidRPr="00086754">
        <w:rPr>
          <w:shd w:val="clear" w:color="auto" w:fill="FFFFFF"/>
        </w:rPr>
        <w:t xml:space="preserve"> </w:t>
      </w:r>
      <w:r w:rsidR="004E7EA3" w:rsidRPr="00086754">
        <w:rPr>
          <w:shd w:val="clear" w:color="auto" w:fill="FFFFFF"/>
        </w:rPr>
        <w:t xml:space="preserve">care system is </w:t>
      </w:r>
      <w:r w:rsidR="007D67C8" w:rsidRPr="00086754">
        <w:rPr>
          <w:shd w:val="clear" w:color="auto" w:fill="FFFFFF"/>
        </w:rPr>
        <w:t xml:space="preserve">in </w:t>
      </w:r>
      <w:r w:rsidR="00F44926" w:rsidRPr="00F44926">
        <w:rPr>
          <w:shd w:val="clear" w:color="auto" w:fill="FFFFFF"/>
        </w:rPr>
        <w:t xml:space="preserve">a period of </w:t>
      </w:r>
      <w:hyperlink r:id="rId8" w:history="1">
        <w:r w:rsidR="00F44926">
          <w:rPr>
            <w:rStyle w:val="Hyperlink"/>
            <w:rFonts w:cs="Arial"/>
            <w:shd w:val="clear" w:color="auto" w:fill="FFFFFF"/>
          </w:rPr>
          <w:t>accelerating change</w:t>
        </w:r>
      </w:hyperlink>
      <w:r w:rsidR="003C1E8D">
        <w:rPr>
          <w:shd w:val="clear" w:color="auto" w:fill="FFFFFF"/>
        </w:rPr>
        <w:t>. Factors</w:t>
      </w:r>
      <w:r w:rsidR="003E4735">
        <w:rPr>
          <w:shd w:val="clear" w:color="auto" w:fill="FFFFFF"/>
        </w:rPr>
        <w:t xml:space="preserve"> </w:t>
      </w:r>
      <w:r w:rsidR="003C1E8D">
        <w:rPr>
          <w:shd w:val="clear" w:color="auto" w:fill="FFFFFF"/>
        </w:rPr>
        <w:t xml:space="preserve">that have contributed to this include an </w:t>
      </w:r>
      <w:r w:rsidR="004E7EA3" w:rsidRPr="00086754">
        <w:rPr>
          <w:shd w:val="clear" w:color="auto" w:fill="FFFFFF"/>
        </w:rPr>
        <w:t>aging</w:t>
      </w:r>
      <w:r w:rsidR="007D67C8" w:rsidRPr="00086754">
        <w:rPr>
          <w:shd w:val="clear" w:color="auto" w:fill="FFFFFF"/>
        </w:rPr>
        <w:t xml:space="preserve"> population </w:t>
      </w:r>
      <w:r w:rsidR="00755DA9" w:rsidRPr="00086754">
        <w:rPr>
          <w:shd w:val="clear" w:color="auto" w:fill="FFFFFF"/>
        </w:rPr>
        <w:t>that values patient autonomy and decision-making</w:t>
      </w:r>
      <w:r w:rsidR="003B11DA">
        <w:rPr>
          <w:shd w:val="clear" w:color="auto" w:fill="FFFFFF"/>
        </w:rPr>
        <w:t xml:space="preserve"> involvement</w:t>
      </w:r>
      <w:r w:rsidR="004E7EA3" w:rsidRPr="00086754">
        <w:rPr>
          <w:shd w:val="clear" w:color="auto" w:fill="FFFFFF"/>
        </w:rPr>
        <w:t xml:space="preserve"> </w:t>
      </w:r>
      <w:r w:rsidR="00022F1D">
        <w:rPr>
          <w:shd w:val="clear" w:color="auto" w:fill="FFFFFF"/>
        </w:rPr>
        <w:t xml:space="preserve">as well as </w:t>
      </w:r>
      <w:r w:rsidR="004E7EA3" w:rsidRPr="00086754">
        <w:rPr>
          <w:shd w:val="clear" w:color="auto" w:fill="FFFFFF"/>
        </w:rPr>
        <w:t xml:space="preserve">the emergence of </w:t>
      </w:r>
      <w:r w:rsidR="00755DA9" w:rsidRPr="00086754">
        <w:rPr>
          <w:shd w:val="clear" w:color="auto" w:fill="FFFFFF"/>
        </w:rPr>
        <w:t>complex diagnostics and treatment</w:t>
      </w:r>
      <w:r w:rsidR="000434D3">
        <w:rPr>
          <w:shd w:val="clear" w:color="auto" w:fill="FFFFFF"/>
        </w:rPr>
        <w:t>s</w:t>
      </w:r>
      <w:r w:rsidR="00755DA9" w:rsidRPr="00086754">
        <w:rPr>
          <w:shd w:val="clear" w:color="auto" w:fill="FFFFFF"/>
        </w:rPr>
        <w:t xml:space="preserve"> through advances in </w:t>
      </w:r>
      <w:r w:rsidR="000434D3">
        <w:rPr>
          <w:shd w:val="clear" w:color="auto" w:fill="FFFFFF"/>
        </w:rPr>
        <w:t xml:space="preserve">technology and </w:t>
      </w:r>
      <w:r w:rsidR="004E7EA3" w:rsidRPr="00086754">
        <w:rPr>
          <w:shd w:val="clear" w:color="auto" w:fill="FFFFFF"/>
        </w:rPr>
        <w:t xml:space="preserve">precision medicine. </w:t>
      </w:r>
      <w:r w:rsidR="00755DA9" w:rsidRPr="00086754">
        <w:rPr>
          <w:shd w:val="clear" w:color="auto" w:fill="FFFFFF"/>
        </w:rPr>
        <w:t xml:space="preserve">This </w:t>
      </w:r>
      <w:r w:rsidR="003C1E8D">
        <w:rPr>
          <w:shd w:val="clear" w:color="auto" w:fill="FFFFFF"/>
        </w:rPr>
        <w:t xml:space="preserve">system </w:t>
      </w:r>
      <w:r w:rsidR="006E6B23">
        <w:rPr>
          <w:shd w:val="clear" w:color="auto" w:fill="FFFFFF"/>
        </w:rPr>
        <w:t>surge</w:t>
      </w:r>
      <w:r w:rsidR="00755DA9" w:rsidRPr="00086754">
        <w:rPr>
          <w:shd w:val="clear" w:color="auto" w:fill="FFFFFF"/>
        </w:rPr>
        <w:t xml:space="preserve"> increases the potential for </w:t>
      </w:r>
      <w:hyperlink r:id="rId9" w:history="1">
        <w:r w:rsidR="00F44926">
          <w:rPr>
            <w:rStyle w:val="Hyperlink"/>
            <w:shd w:val="clear" w:color="auto" w:fill="FFFFFF"/>
          </w:rPr>
          <w:t>social and ethical issues</w:t>
        </w:r>
      </w:hyperlink>
      <w:r w:rsidR="00F44926">
        <w:rPr>
          <w:shd w:val="clear" w:color="auto" w:fill="FFFFFF"/>
        </w:rPr>
        <w:t xml:space="preserve"> </w:t>
      </w:r>
      <w:r w:rsidR="00F44926" w:rsidRPr="00F44926">
        <w:rPr>
          <w:shd w:val="clear" w:color="auto" w:fill="FFFFFF"/>
        </w:rPr>
        <w:t>for patients and health professionals</w:t>
      </w:r>
      <w:r w:rsidR="00755DA9" w:rsidRPr="00086754">
        <w:rPr>
          <w:shd w:val="clear" w:color="auto" w:fill="FFFFFF"/>
        </w:rPr>
        <w:t xml:space="preserve"> while placing greater gravity on information sharing </w:t>
      </w:r>
      <w:r w:rsidR="006E6B23">
        <w:rPr>
          <w:shd w:val="clear" w:color="auto" w:fill="FFFFFF"/>
        </w:rPr>
        <w:t xml:space="preserve">within </w:t>
      </w:r>
      <w:r w:rsidR="00755DA9" w:rsidRPr="00086754">
        <w:rPr>
          <w:shd w:val="clear" w:color="auto" w:fill="FFFFFF"/>
        </w:rPr>
        <w:t>clinical conversations</w:t>
      </w:r>
      <w:r w:rsidR="004E7EA3" w:rsidRPr="00086754">
        <w:rPr>
          <w:shd w:val="clear" w:color="auto" w:fill="FFFFFF"/>
        </w:rPr>
        <w:t>.</w:t>
      </w:r>
      <w:r w:rsidR="008F27D3" w:rsidRPr="00086754">
        <w:rPr>
          <w:shd w:val="clear" w:color="auto" w:fill="FFFFFF"/>
        </w:rPr>
        <w:t> </w:t>
      </w:r>
    </w:p>
    <w:tbl>
      <w:tblPr>
        <w:tblStyle w:val="TableGrid"/>
        <w:tblpPr w:leftFromText="180" w:rightFromText="180" w:vertAnchor="text" w:horzAnchor="margin" w:tblpY="2553"/>
        <w:tblW w:w="0" w:type="auto"/>
        <w:tblLook w:val="04A0" w:firstRow="1" w:lastRow="0" w:firstColumn="1" w:lastColumn="0" w:noHBand="0" w:noVBand="1"/>
      </w:tblPr>
      <w:tblGrid>
        <w:gridCol w:w="10070"/>
      </w:tblGrid>
      <w:tr w:rsidR="0052687E" w14:paraId="0D395E3B" w14:textId="77777777" w:rsidTr="0052687E">
        <w:tc>
          <w:tcPr>
            <w:tcW w:w="10070" w:type="dxa"/>
            <w:shd w:val="clear" w:color="auto" w:fill="C6D9F1" w:themeFill="text2" w:themeFillTint="33"/>
          </w:tcPr>
          <w:p w14:paraId="0B3B1175" w14:textId="77777777" w:rsidR="0052687E" w:rsidRDefault="0052687E" w:rsidP="0052687E">
            <w:pPr>
              <w:pStyle w:val="CSMLS-Body"/>
              <w:spacing w:before="240"/>
              <w:jc w:val="center"/>
              <w:rPr>
                <w:rFonts w:ascii="Rockwell" w:hAnsi="Rockwell"/>
                <w:i/>
              </w:rPr>
            </w:pPr>
            <w:r w:rsidRPr="00305BA2">
              <w:rPr>
                <w:rFonts w:ascii="Rockwell" w:hAnsi="Rockwell"/>
                <w:i/>
              </w:rPr>
              <w:t>“It’s very important for us [laboratory professionals] to stay in touch with our medical colleagues, because this is the only way to ensure we have an uninterrupted flow of information. In the future, we will be playing an increasingly important role as consultants. The added value we create in medicine is often under-appreciated. We are sitting in the backseat, without direct contact with patients.”</w:t>
            </w:r>
          </w:p>
          <w:p w14:paraId="741964B5" w14:textId="77777777" w:rsidR="0052687E" w:rsidRDefault="0052687E" w:rsidP="0052687E">
            <w:pPr>
              <w:pStyle w:val="CSMLS-Body"/>
              <w:spacing w:before="240"/>
              <w:jc w:val="right"/>
            </w:pPr>
            <w:r w:rsidRPr="00305BA2">
              <w:rPr>
                <w:rFonts w:ascii="Rockwell" w:hAnsi="Rockwell"/>
              </w:rPr>
              <w:t xml:space="preserve">~ </w:t>
            </w:r>
            <w:hyperlink r:id="rId10" w:history="1">
              <w:r w:rsidRPr="00305BA2">
                <w:rPr>
                  <w:rStyle w:val="Hyperlink"/>
                  <w:rFonts w:ascii="Rockwell" w:hAnsi="Rockwell"/>
                </w:rPr>
                <w:t xml:space="preserve">Berend </w:t>
              </w:r>
              <w:proofErr w:type="spellStart"/>
              <w:r w:rsidRPr="00305BA2">
                <w:rPr>
                  <w:rStyle w:val="Hyperlink"/>
                  <w:rFonts w:ascii="Rockwell" w:hAnsi="Rockwell"/>
                </w:rPr>
                <w:t>Isermann</w:t>
              </w:r>
              <w:proofErr w:type="spellEnd"/>
            </w:hyperlink>
            <w:r w:rsidRPr="00305BA2">
              <w:rPr>
                <w:rFonts w:ascii="Rockwell" w:hAnsi="Rockwell"/>
              </w:rPr>
              <w:t>, German Congress of Laboratory Medicine President</w:t>
            </w:r>
          </w:p>
        </w:tc>
      </w:tr>
    </w:tbl>
    <w:p w14:paraId="2B132017" w14:textId="6A5D00EA" w:rsidR="00305BA2" w:rsidRDefault="006E6B23" w:rsidP="001B213F">
      <w:pPr>
        <w:spacing w:before="240"/>
        <w:rPr>
          <w:shd w:val="clear" w:color="auto" w:fill="FFFFFF"/>
        </w:rPr>
      </w:pPr>
      <w:r>
        <w:rPr>
          <w:shd w:val="clear" w:color="auto" w:fill="FFFFFF"/>
        </w:rPr>
        <w:t>To support all parties involved</w:t>
      </w:r>
      <w:r w:rsidR="003C1E8D">
        <w:rPr>
          <w:shd w:val="clear" w:color="auto" w:fill="FFFFFF"/>
        </w:rPr>
        <w:t xml:space="preserve">, </w:t>
      </w:r>
      <w:r w:rsidR="008F27D3" w:rsidRPr="00086754">
        <w:rPr>
          <w:shd w:val="clear" w:color="auto" w:fill="FFFFFF"/>
        </w:rPr>
        <w:t>health</w:t>
      </w:r>
      <w:r w:rsidR="00086754">
        <w:rPr>
          <w:shd w:val="clear" w:color="auto" w:fill="FFFFFF"/>
        </w:rPr>
        <w:t xml:space="preserve"> </w:t>
      </w:r>
      <w:r w:rsidR="008F27D3" w:rsidRPr="00086754">
        <w:rPr>
          <w:shd w:val="clear" w:color="auto" w:fill="FFFFFF"/>
        </w:rPr>
        <w:t xml:space="preserve">care delivery </w:t>
      </w:r>
      <w:r w:rsidR="003C1E8D">
        <w:rPr>
          <w:shd w:val="clear" w:color="auto" w:fill="FFFFFF"/>
        </w:rPr>
        <w:t xml:space="preserve">is best </w:t>
      </w:r>
      <w:r w:rsidR="00305BA2">
        <w:rPr>
          <w:shd w:val="clear" w:color="auto" w:fill="FFFFFF"/>
        </w:rPr>
        <w:t>organized by a</w:t>
      </w:r>
      <w:r w:rsidR="00086754">
        <w:rPr>
          <w:shd w:val="clear" w:color="auto" w:fill="FFFFFF"/>
        </w:rPr>
        <w:t xml:space="preserve"> </w:t>
      </w:r>
      <w:r w:rsidR="008F27D3" w:rsidRPr="00086754">
        <w:rPr>
          <w:shd w:val="clear" w:color="auto" w:fill="FFFFFF"/>
        </w:rPr>
        <w:t xml:space="preserve">defined set of patient needs </w:t>
      </w:r>
      <w:r w:rsidR="00305BA2">
        <w:rPr>
          <w:shd w:val="clear" w:color="auto" w:fill="FFFFFF"/>
        </w:rPr>
        <w:t xml:space="preserve">that </w:t>
      </w:r>
      <w:r w:rsidR="000434D3">
        <w:rPr>
          <w:shd w:val="clear" w:color="auto" w:fill="FFFFFF"/>
        </w:rPr>
        <w:t xml:space="preserve">are </w:t>
      </w:r>
      <w:r w:rsidR="008F27D3" w:rsidRPr="00086754">
        <w:rPr>
          <w:shd w:val="clear" w:color="auto" w:fill="FFFFFF"/>
        </w:rPr>
        <w:t>attended</w:t>
      </w:r>
      <w:r w:rsidR="003C1E8D">
        <w:rPr>
          <w:shd w:val="clear" w:color="auto" w:fill="FFFFFF"/>
        </w:rPr>
        <w:t xml:space="preserve"> to</w:t>
      </w:r>
      <w:r w:rsidR="008F27D3" w:rsidRPr="00086754">
        <w:rPr>
          <w:shd w:val="clear" w:color="auto" w:fill="FFFFFF"/>
        </w:rPr>
        <w:t xml:space="preserve"> by interdisciplinary health</w:t>
      </w:r>
      <w:r w:rsidR="00086754" w:rsidRPr="00086754">
        <w:rPr>
          <w:shd w:val="clear" w:color="auto" w:fill="FFFFFF"/>
        </w:rPr>
        <w:t xml:space="preserve"> </w:t>
      </w:r>
      <w:r w:rsidR="008F27D3" w:rsidRPr="00086754">
        <w:rPr>
          <w:shd w:val="clear" w:color="auto" w:fill="FFFFFF"/>
        </w:rPr>
        <w:t xml:space="preserve">care </w:t>
      </w:r>
      <w:r w:rsidR="00086754" w:rsidRPr="00086754">
        <w:rPr>
          <w:shd w:val="clear" w:color="auto" w:fill="FFFFFF"/>
        </w:rPr>
        <w:t xml:space="preserve">teams </w:t>
      </w:r>
      <w:r w:rsidR="003C1E8D">
        <w:rPr>
          <w:shd w:val="clear" w:color="auto" w:fill="FFFFFF"/>
        </w:rPr>
        <w:t xml:space="preserve">and </w:t>
      </w:r>
      <w:r w:rsidR="00086754">
        <w:rPr>
          <w:shd w:val="clear" w:color="auto" w:fill="FFFFFF"/>
        </w:rPr>
        <w:t>through</w:t>
      </w:r>
      <w:r w:rsidR="00086754" w:rsidRPr="00086754">
        <w:rPr>
          <w:shd w:val="clear" w:color="auto" w:fill="FFFFFF"/>
        </w:rPr>
        <w:t xml:space="preserve"> </w:t>
      </w:r>
      <w:r w:rsidR="008F27D3" w:rsidRPr="00086754">
        <w:rPr>
          <w:shd w:val="clear" w:color="auto" w:fill="FFFFFF"/>
        </w:rPr>
        <w:t xml:space="preserve">custom-designed </w:t>
      </w:r>
      <w:r w:rsidR="00086754" w:rsidRPr="00086754">
        <w:rPr>
          <w:shd w:val="clear" w:color="auto" w:fill="FFFFFF"/>
        </w:rPr>
        <w:t xml:space="preserve">processes across the </w:t>
      </w:r>
      <w:r w:rsidR="003C1E8D">
        <w:rPr>
          <w:shd w:val="clear" w:color="auto" w:fill="FFFFFF"/>
        </w:rPr>
        <w:t xml:space="preserve">care </w:t>
      </w:r>
      <w:r w:rsidR="008F27D3" w:rsidRPr="00086754">
        <w:rPr>
          <w:shd w:val="clear" w:color="auto" w:fill="FFFFFF"/>
        </w:rPr>
        <w:t>journey.</w:t>
      </w:r>
      <w:r w:rsidR="008F27D3" w:rsidRPr="00086754">
        <w:rPr>
          <w:shd w:val="clear" w:color="auto" w:fill="FFFFFF"/>
          <w:vertAlign w:val="superscript"/>
        </w:rPr>
        <w:t xml:space="preserve"> </w:t>
      </w:r>
      <w:r w:rsidR="00086754">
        <w:rPr>
          <w:shd w:val="clear" w:color="auto" w:fill="FFFFFF"/>
        </w:rPr>
        <w:t xml:space="preserve">Although </w:t>
      </w:r>
      <w:r w:rsidR="001D64E3">
        <w:rPr>
          <w:shd w:val="clear" w:color="auto" w:fill="FFFFFF"/>
        </w:rPr>
        <w:t>interprofessional</w:t>
      </w:r>
      <w:r w:rsidR="00086754">
        <w:rPr>
          <w:shd w:val="clear" w:color="auto" w:fill="FFFFFF"/>
        </w:rPr>
        <w:t xml:space="preserve"> </w:t>
      </w:r>
      <w:r w:rsidR="001D64E3">
        <w:rPr>
          <w:shd w:val="clear" w:color="auto" w:fill="FFFFFF"/>
        </w:rPr>
        <w:t xml:space="preserve">care </w:t>
      </w:r>
      <w:r w:rsidR="00086754">
        <w:rPr>
          <w:shd w:val="clear" w:color="auto" w:fill="FFFFFF"/>
        </w:rPr>
        <w:t>(IP</w:t>
      </w:r>
      <w:r w:rsidR="001D64E3">
        <w:rPr>
          <w:shd w:val="clear" w:color="auto" w:fill="FFFFFF"/>
        </w:rPr>
        <w:t>C</w:t>
      </w:r>
      <w:r w:rsidR="00086754">
        <w:rPr>
          <w:shd w:val="clear" w:color="auto" w:fill="FFFFFF"/>
        </w:rPr>
        <w:t xml:space="preserve">) generally </w:t>
      </w:r>
      <w:r w:rsidR="00022F1D">
        <w:rPr>
          <w:shd w:val="clear" w:color="auto" w:fill="FFFFFF"/>
        </w:rPr>
        <w:t xml:space="preserve">refers to </w:t>
      </w:r>
      <w:r w:rsidR="00086754">
        <w:rPr>
          <w:shd w:val="clear" w:color="auto" w:fill="FFFFFF"/>
        </w:rPr>
        <w:t xml:space="preserve">those working </w:t>
      </w:r>
      <w:r w:rsidR="000434D3">
        <w:rPr>
          <w:shd w:val="clear" w:color="auto" w:fill="FFFFFF"/>
        </w:rPr>
        <w:t xml:space="preserve">directly </w:t>
      </w:r>
      <w:r w:rsidR="00022F1D">
        <w:rPr>
          <w:shd w:val="clear" w:color="auto" w:fill="FFFFFF"/>
        </w:rPr>
        <w:t xml:space="preserve">with </w:t>
      </w:r>
      <w:r w:rsidR="00086754">
        <w:rPr>
          <w:shd w:val="clear" w:color="auto" w:fill="FFFFFF"/>
        </w:rPr>
        <w:t>patients</w:t>
      </w:r>
      <w:r w:rsidR="00022F1D">
        <w:rPr>
          <w:shd w:val="clear" w:color="auto" w:fill="FFFFFF"/>
        </w:rPr>
        <w:t xml:space="preserve"> at their</w:t>
      </w:r>
      <w:r w:rsidR="00086754">
        <w:rPr>
          <w:shd w:val="clear" w:color="auto" w:fill="FFFFFF"/>
        </w:rPr>
        <w:t xml:space="preserve"> bedside, it </w:t>
      </w:r>
      <w:hyperlink r:id="rId11" w:history="1">
        <w:r w:rsidR="000434D3" w:rsidRPr="00C85C06">
          <w:rPr>
            <w:rStyle w:val="Hyperlink"/>
            <w:shd w:val="clear" w:color="auto" w:fill="FFFFFF"/>
          </w:rPr>
          <w:t>also includes medical laboratory professionals</w:t>
        </w:r>
      </w:hyperlink>
      <w:r w:rsidR="000434D3">
        <w:rPr>
          <w:shd w:val="clear" w:color="auto" w:fill="FFFFFF"/>
        </w:rPr>
        <w:t xml:space="preserve"> (MLPs</w:t>
      </w:r>
      <w:r w:rsidR="00C85C06">
        <w:rPr>
          <w:shd w:val="clear" w:color="auto" w:fill="FFFFFF"/>
        </w:rPr>
        <w:t>)</w:t>
      </w:r>
      <w:r w:rsidR="003E4735">
        <w:rPr>
          <w:shd w:val="clear" w:color="auto" w:fill="FFFFFF"/>
        </w:rPr>
        <w:t>,</w:t>
      </w:r>
      <w:r w:rsidR="00305BA2">
        <w:rPr>
          <w:shd w:val="clear" w:color="auto" w:fill="FFFFFF"/>
        </w:rPr>
        <w:t xml:space="preserve"> </w:t>
      </w:r>
      <w:r w:rsidR="003E4735">
        <w:rPr>
          <w:shd w:val="clear" w:color="auto" w:fill="FFFFFF"/>
        </w:rPr>
        <w:t>a</w:t>
      </w:r>
      <w:r w:rsidR="00305BA2">
        <w:rPr>
          <w:shd w:val="clear" w:color="auto" w:fill="FFFFFF"/>
        </w:rPr>
        <w:t xml:space="preserve">lbeit the </w:t>
      </w:r>
      <w:r w:rsidR="00B53E9F">
        <w:rPr>
          <w:shd w:val="clear" w:color="auto" w:fill="FFFFFF"/>
        </w:rPr>
        <w:t>inclusion</w:t>
      </w:r>
      <w:r w:rsidR="00305BA2">
        <w:rPr>
          <w:shd w:val="clear" w:color="auto" w:fill="FFFFFF"/>
        </w:rPr>
        <w:t xml:space="preserve"> of MLPs in </w:t>
      </w:r>
      <w:r w:rsidR="001D64E3">
        <w:rPr>
          <w:shd w:val="clear" w:color="auto" w:fill="FFFFFF"/>
        </w:rPr>
        <w:t xml:space="preserve">IPC </w:t>
      </w:r>
      <w:r w:rsidR="00305BA2">
        <w:rPr>
          <w:shd w:val="clear" w:color="auto" w:fill="FFFFFF"/>
        </w:rPr>
        <w:t>is not widely published</w:t>
      </w:r>
      <w:r w:rsidR="00B53E9F">
        <w:rPr>
          <w:shd w:val="clear" w:color="auto" w:fill="FFFFFF"/>
        </w:rPr>
        <w:t xml:space="preserve"> </w:t>
      </w:r>
      <w:r w:rsidR="003C1E8D">
        <w:rPr>
          <w:shd w:val="clear" w:color="auto" w:fill="FFFFFF"/>
        </w:rPr>
        <w:t xml:space="preserve">on </w:t>
      </w:r>
      <w:r w:rsidR="00B53E9F">
        <w:rPr>
          <w:shd w:val="clear" w:color="auto" w:fill="FFFFFF"/>
        </w:rPr>
        <w:t>and</w:t>
      </w:r>
      <w:r w:rsidR="003E4735">
        <w:rPr>
          <w:shd w:val="clear" w:color="auto" w:fill="FFFFFF"/>
        </w:rPr>
        <w:t>,</w:t>
      </w:r>
      <w:r w:rsidR="00B53E9F">
        <w:rPr>
          <w:shd w:val="clear" w:color="auto" w:fill="FFFFFF"/>
        </w:rPr>
        <w:t xml:space="preserve"> thus, the frequency </w:t>
      </w:r>
      <w:r w:rsidR="00022F1D">
        <w:rPr>
          <w:shd w:val="clear" w:color="auto" w:fill="FFFFFF"/>
        </w:rPr>
        <w:t xml:space="preserve">of </w:t>
      </w:r>
      <w:r w:rsidR="00B53E9F">
        <w:rPr>
          <w:shd w:val="clear" w:color="auto" w:fill="FFFFFF"/>
        </w:rPr>
        <w:t xml:space="preserve">our inclusions is not well understood </w:t>
      </w:r>
      <w:r w:rsidR="00022F1D">
        <w:rPr>
          <w:shd w:val="clear" w:color="auto" w:fill="FFFFFF"/>
        </w:rPr>
        <w:t>or monitored (</w:t>
      </w:r>
      <w:r w:rsidR="00B53E9F">
        <w:rPr>
          <w:shd w:val="clear" w:color="auto" w:fill="FFFFFF"/>
        </w:rPr>
        <w:t>general</w:t>
      </w:r>
      <w:r w:rsidR="005E622B">
        <w:rPr>
          <w:shd w:val="clear" w:color="auto" w:fill="FFFFFF"/>
        </w:rPr>
        <w:t>ly</w:t>
      </w:r>
      <w:r w:rsidR="00B53E9F">
        <w:rPr>
          <w:shd w:val="clear" w:color="auto" w:fill="FFFFFF"/>
        </w:rPr>
        <w:t xml:space="preserve"> though</w:t>
      </w:r>
      <w:r w:rsidR="00022F1D">
        <w:rPr>
          <w:shd w:val="clear" w:color="auto" w:fill="FFFFFF"/>
        </w:rPr>
        <w:t>t</w:t>
      </w:r>
      <w:r w:rsidR="00B53E9F">
        <w:rPr>
          <w:shd w:val="clear" w:color="auto" w:fill="FFFFFF"/>
        </w:rPr>
        <w:t xml:space="preserve"> to </w:t>
      </w:r>
      <w:r w:rsidR="003C1E8D">
        <w:rPr>
          <w:shd w:val="clear" w:color="auto" w:fill="FFFFFF"/>
        </w:rPr>
        <w:t xml:space="preserve">have </w:t>
      </w:r>
      <w:r w:rsidR="00B53E9F">
        <w:rPr>
          <w:shd w:val="clear" w:color="auto" w:fill="FFFFFF"/>
        </w:rPr>
        <w:t>minimal</w:t>
      </w:r>
      <w:r w:rsidR="00022F1D">
        <w:rPr>
          <w:shd w:val="clear" w:color="auto" w:fill="FFFFFF"/>
        </w:rPr>
        <w:t xml:space="preserve"> IPC </w:t>
      </w:r>
      <w:r w:rsidR="003C1E8D">
        <w:rPr>
          <w:shd w:val="clear" w:color="auto" w:fill="FFFFFF"/>
        </w:rPr>
        <w:t>involvement</w:t>
      </w:r>
      <w:r w:rsidR="00022F1D">
        <w:rPr>
          <w:shd w:val="clear" w:color="auto" w:fill="FFFFFF"/>
        </w:rPr>
        <w:t>)</w:t>
      </w:r>
      <w:r w:rsidR="00305BA2">
        <w:rPr>
          <w:shd w:val="clear" w:color="auto" w:fill="FFFFFF"/>
        </w:rPr>
        <w:t xml:space="preserve">. </w:t>
      </w:r>
    </w:p>
    <w:p w14:paraId="0C6C7D19" w14:textId="77777777" w:rsidR="004334E9" w:rsidRDefault="004334E9" w:rsidP="001D64E3">
      <w:pPr>
        <w:pStyle w:val="CSMLS-Body"/>
        <w:spacing w:before="240" w:line="276" w:lineRule="auto"/>
        <w:rPr>
          <w:shd w:val="clear" w:color="auto" w:fill="FFFFFF"/>
        </w:rPr>
      </w:pPr>
    </w:p>
    <w:p w14:paraId="75DFD8C7" w14:textId="0E69D065" w:rsidR="008F3593" w:rsidRDefault="00305BA2" w:rsidP="001D64E3">
      <w:pPr>
        <w:pStyle w:val="CSMLS-Body"/>
        <w:spacing w:before="240" w:line="276" w:lineRule="auto"/>
        <w:rPr>
          <w:shd w:val="clear" w:color="auto" w:fill="FFFFFF"/>
        </w:rPr>
      </w:pPr>
      <w:r>
        <w:rPr>
          <w:shd w:val="clear" w:color="auto" w:fill="FFFFFF"/>
        </w:rPr>
        <w:t xml:space="preserve">Although </w:t>
      </w:r>
      <w:r w:rsidR="00022F1D">
        <w:rPr>
          <w:shd w:val="clear" w:color="auto" w:fill="FFFFFF"/>
        </w:rPr>
        <w:t>others don’t</w:t>
      </w:r>
      <w:r w:rsidR="005E622B">
        <w:rPr>
          <w:shd w:val="clear" w:color="auto" w:fill="FFFFFF"/>
        </w:rPr>
        <w:t xml:space="preserve"> </w:t>
      </w:r>
      <w:r w:rsidR="00BA35AF">
        <w:rPr>
          <w:shd w:val="clear" w:color="auto" w:fill="FFFFFF"/>
        </w:rPr>
        <w:t xml:space="preserve">easily recognize how </w:t>
      </w:r>
      <w:r>
        <w:rPr>
          <w:shd w:val="clear" w:color="auto" w:fill="FFFFFF"/>
        </w:rPr>
        <w:t xml:space="preserve">MLPs </w:t>
      </w:r>
      <w:r w:rsidR="00BA35AF">
        <w:rPr>
          <w:shd w:val="clear" w:color="auto" w:fill="FFFFFF"/>
        </w:rPr>
        <w:t xml:space="preserve">impact the patient journey or </w:t>
      </w:r>
      <w:r w:rsidR="001F277A">
        <w:rPr>
          <w:shd w:val="clear" w:color="auto" w:fill="FFFFFF"/>
        </w:rPr>
        <w:t xml:space="preserve">know </w:t>
      </w:r>
      <w:r w:rsidR="00BA35AF">
        <w:rPr>
          <w:shd w:val="clear" w:color="auto" w:fill="FFFFFF"/>
        </w:rPr>
        <w:t xml:space="preserve">that many MLPs have </w:t>
      </w:r>
      <w:r>
        <w:rPr>
          <w:shd w:val="clear" w:color="auto" w:fill="FFFFFF"/>
        </w:rPr>
        <w:t>patient-facing</w:t>
      </w:r>
      <w:r w:rsidR="00BA35AF">
        <w:rPr>
          <w:shd w:val="clear" w:color="auto" w:fill="FFFFFF"/>
        </w:rPr>
        <w:t xml:space="preserve"> duties</w:t>
      </w:r>
      <w:r>
        <w:rPr>
          <w:shd w:val="clear" w:color="auto" w:fill="FFFFFF"/>
        </w:rPr>
        <w:t xml:space="preserve">, there are several factors </w:t>
      </w:r>
      <w:r w:rsidR="00160B20">
        <w:rPr>
          <w:shd w:val="clear" w:color="auto" w:fill="FFFFFF"/>
        </w:rPr>
        <w:t xml:space="preserve">that </w:t>
      </w:r>
      <w:r>
        <w:rPr>
          <w:shd w:val="clear" w:color="auto" w:fill="FFFFFF"/>
        </w:rPr>
        <w:t xml:space="preserve">inhibited </w:t>
      </w:r>
      <w:r w:rsidR="003C1E8D">
        <w:rPr>
          <w:shd w:val="clear" w:color="auto" w:fill="FFFFFF"/>
        </w:rPr>
        <w:t>perception growth</w:t>
      </w:r>
      <w:r w:rsidR="00B53E9F">
        <w:rPr>
          <w:shd w:val="clear" w:color="auto" w:fill="FFFFFF"/>
        </w:rPr>
        <w:t xml:space="preserve">. </w:t>
      </w:r>
      <w:r w:rsidR="000237A9">
        <w:rPr>
          <w:shd w:val="clear" w:color="auto" w:fill="FFFFFF"/>
        </w:rPr>
        <w:t>As one</w:t>
      </w:r>
      <w:r w:rsidR="00B53E9F">
        <w:rPr>
          <w:shd w:val="clear" w:color="auto" w:fill="FFFFFF"/>
        </w:rPr>
        <w:t xml:space="preserve"> example, </w:t>
      </w:r>
      <w:r>
        <w:rPr>
          <w:shd w:val="clear" w:color="auto" w:fill="FFFFFF"/>
        </w:rPr>
        <w:t>the increased use of decision</w:t>
      </w:r>
      <w:r w:rsidR="00464456">
        <w:rPr>
          <w:shd w:val="clear" w:color="auto" w:fill="FFFFFF"/>
        </w:rPr>
        <w:t>-</w:t>
      </w:r>
      <w:r>
        <w:rPr>
          <w:shd w:val="clear" w:color="auto" w:fill="FFFFFF"/>
        </w:rPr>
        <w:t>support systems</w:t>
      </w:r>
      <w:r w:rsidR="00B53E9F">
        <w:rPr>
          <w:shd w:val="clear" w:color="auto" w:fill="FFFFFF"/>
        </w:rPr>
        <w:t xml:space="preserve"> through electronic means </w:t>
      </w:r>
      <w:r w:rsidR="00BA35AF">
        <w:rPr>
          <w:shd w:val="clear" w:color="auto" w:fill="FFFFFF"/>
        </w:rPr>
        <w:t xml:space="preserve">has </w:t>
      </w:r>
      <w:r w:rsidR="00B53E9F">
        <w:rPr>
          <w:shd w:val="clear" w:color="auto" w:fill="FFFFFF"/>
        </w:rPr>
        <w:t>decreased the need for MLPs to transfer knowledge directly</w:t>
      </w:r>
      <w:r w:rsidR="00BA35AF">
        <w:rPr>
          <w:shd w:val="clear" w:color="auto" w:fill="FFFFFF"/>
        </w:rPr>
        <w:t xml:space="preserve"> to </w:t>
      </w:r>
      <w:r w:rsidR="001D64E3">
        <w:rPr>
          <w:shd w:val="clear" w:color="auto" w:fill="FFFFFF"/>
        </w:rPr>
        <w:t>colleagues</w:t>
      </w:r>
      <w:r w:rsidR="00BA35AF">
        <w:rPr>
          <w:shd w:val="clear" w:color="auto" w:fill="FFFFFF"/>
        </w:rPr>
        <w:t xml:space="preserve">. </w:t>
      </w:r>
      <w:hyperlink r:id="rId12" w:history="1">
        <w:r w:rsidR="00BA35AF" w:rsidRPr="005E622B">
          <w:rPr>
            <w:rStyle w:val="Hyperlink"/>
            <w:shd w:val="clear" w:color="auto" w:fill="FFFFFF"/>
          </w:rPr>
          <w:t>E</w:t>
        </w:r>
        <w:r w:rsidR="00B53E9F" w:rsidRPr="005E622B">
          <w:rPr>
            <w:rStyle w:val="Hyperlink"/>
            <w:shd w:val="clear" w:color="auto" w:fill="FFFFFF"/>
          </w:rPr>
          <w:t>lectronic medical records</w:t>
        </w:r>
      </w:hyperlink>
      <w:r w:rsidR="00B53E9F">
        <w:rPr>
          <w:shd w:val="clear" w:color="auto" w:fill="FFFFFF"/>
        </w:rPr>
        <w:t xml:space="preserve"> (EMRs)</w:t>
      </w:r>
      <w:r w:rsidR="00022F1D">
        <w:rPr>
          <w:shd w:val="clear" w:color="auto" w:fill="FFFFFF"/>
        </w:rPr>
        <w:t xml:space="preserve">, </w:t>
      </w:r>
      <w:hyperlink r:id="rId13" w:history="1">
        <w:r w:rsidR="00B53E9F" w:rsidRPr="005E622B">
          <w:rPr>
            <w:rStyle w:val="Hyperlink"/>
            <w:shd w:val="clear" w:color="auto" w:fill="FFFFFF"/>
          </w:rPr>
          <w:t>laboratory information systems</w:t>
        </w:r>
      </w:hyperlink>
      <w:r w:rsidR="00B53E9F">
        <w:rPr>
          <w:shd w:val="clear" w:color="auto" w:fill="FFFFFF"/>
        </w:rPr>
        <w:t xml:space="preserve"> (LIS)</w:t>
      </w:r>
      <w:r w:rsidR="00022F1D">
        <w:rPr>
          <w:shd w:val="clear" w:color="auto" w:fill="FFFFFF"/>
        </w:rPr>
        <w:t xml:space="preserve"> and </w:t>
      </w:r>
      <w:hyperlink r:id="rId14" w:history="1">
        <w:r w:rsidR="00022F1D" w:rsidRPr="00022F1D">
          <w:rPr>
            <w:rStyle w:val="Hyperlink"/>
            <w:shd w:val="clear" w:color="auto" w:fill="FFFFFF"/>
          </w:rPr>
          <w:t>patient portals</w:t>
        </w:r>
      </w:hyperlink>
      <w:r w:rsidR="00BA35AF">
        <w:rPr>
          <w:shd w:val="clear" w:color="auto" w:fill="FFFFFF"/>
        </w:rPr>
        <w:t xml:space="preserve"> are often used to order tests and</w:t>
      </w:r>
      <w:r w:rsidR="00022F1D">
        <w:rPr>
          <w:shd w:val="clear" w:color="auto" w:fill="FFFFFF"/>
        </w:rPr>
        <w:t>/or</w:t>
      </w:r>
      <w:r w:rsidR="00BA35AF">
        <w:rPr>
          <w:shd w:val="clear" w:color="auto" w:fill="FFFFFF"/>
        </w:rPr>
        <w:t xml:space="preserve"> display final result</w:t>
      </w:r>
      <w:r w:rsidR="003C1E8D">
        <w:rPr>
          <w:shd w:val="clear" w:color="auto" w:fill="FFFFFF"/>
        </w:rPr>
        <w:t>s</w:t>
      </w:r>
      <w:r w:rsidR="00BA35AF">
        <w:rPr>
          <w:shd w:val="clear" w:color="auto" w:fill="FFFFFF"/>
        </w:rPr>
        <w:t xml:space="preserve"> without </w:t>
      </w:r>
      <w:r w:rsidR="00022F1D">
        <w:rPr>
          <w:shd w:val="clear" w:color="auto" w:fill="FFFFFF"/>
        </w:rPr>
        <w:t xml:space="preserve">requiring </w:t>
      </w:r>
      <w:r w:rsidR="00BA35AF">
        <w:rPr>
          <w:shd w:val="clear" w:color="auto" w:fill="FFFFFF"/>
        </w:rPr>
        <w:t>a conversation between an MLP and health care professional</w:t>
      </w:r>
      <w:r w:rsidR="00B53E9F">
        <w:rPr>
          <w:shd w:val="clear" w:color="auto" w:fill="FFFFFF"/>
        </w:rPr>
        <w:t xml:space="preserve">. </w:t>
      </w:r>
      <w:r w:rsidR="003C1E8D">
        <w:rPr>
          <w:shd w:val="clear" w:color="auto" w:fill="FFFFFF"/>
        </w:rPr>
        <w:t>P</w:t>
      </w:r>
      <w:r w:rsidR="00022F1D">
        <w:rPr>
          <w:shd w:val="clear" w:color="auto" w:fill="FFFFFF"/>
        </w:rPr>
        <w:t xml:space="preserve">erhaps this is acceptable </w:t>
      </w:r>
      <w:r w:rsidR="003C1E8D">
        <w:rPr>
          <w:shd w:val="clear" w:color="auto" w:fill="FFFFFF"/>
        </w:rPr>
        <w:t xml:space="preserve">in today’s modern society </w:t>
      </w:r>
      <w:r w:rsidR="00022F1D">
        <w:rPr>
          <w:shd w:val="clear" w:color="auto" w:fill="FFFFFF"/>
        </w:rPr>
        <w:t>because it is an efficient means of communication and</w:t>
      </w:r>
      <w:r w:rsidR="003C1E8D">
        <w:rPr>
          <w:shd w:val="clear" w:color="auto" w:fill="FFFFFF"/>
        </w:rPr>
        <w:t>,</w:t>
      </w:r>
      <w:r w:rsidR="00022F1D">
        <w:rPr>
          <w:shd w:val="clear" w:color="auto" w:fill="FFFFFF"/>
        </w:rPr>
        <w:t xml:space="preserve"> </w:t>
      </w:r>
      <w:r w:rsidR="005E622B">
        <w:rPr>
          <w:shd w:val="clear" w:color="auto" w:fill="FFFFFF"/>
        </w:rPr>
        <w:t xml:space="preserve">overall, provides </w:t>
      </w:r>
      <w:r w:rsidR="003B24FD">
        <w:rPr>
          <w:shd w:val="clear" w:color="auto" w:fill="FFFFFF"/>
        </w:rPr>
        <w:t xml:space="preserve">some superior </w:t>
      </w:r>
      <w:r w:rsidR="005E622B">
        <w:rPr>
          <w:shd w:val="clear" w:color="auto" w:fill="FFFFFF"/>
        </w:rPr>
        <w:t>quality control measures</w:t>
      </w:r>
      <w:r w:rsidR="00022F1D">
        <w:rPr>
          <w:shd w:val="clear" w:color="auto" w:fill="FFFFFF"/>
        </w:rPr>
        <w:t xml:space="preserve">. The thought is not </w:t>
      </w:r>
      <w:r w:rsidR="00022F1D">
        <w:rPr>
          <w:shd w:val="clear" w:color="auto" w:fill="FFFFFF"/>
        </w:rPr>
        <w:lastRenderedPageBreak/>
        <w:t xml:space="preserve">that this is a bad process </w:t>
      </w:r>
      <w:r w:rsidR="003C1E8D">
        <w:rPr>
          <w:shd w:val="clear" w:color="auto" w:fill="FFFFFF"/>
        </w:rPr>
        <w:t xml:space="preserve">change </w:t>
      </w:r>
      <w:r w:rsidR="00022F1D">
        <w:rPr>
          <w:shd w:val="clear" w:color="auto" w:fill="FFFFFF"/>
        </w:rPr>
        <w:t>but</w:t>
      </w:r>
      <w:r w:rsidR="008C6F9E">
        <w:rPr>
          <w:shd w:val="clear" w:color="auto" w:fill="FFFFFF"/>
        </w:rPr>
        <w:t>,</w:t>
      </w:r>
      <w:r w:rsidR="00022F1D">
        <w:rPr>
          <w:shd w:val="clear" w:color="auto" w:fill="FFFFFF"/>
        </w:rPr>
        <w:t xml:space="preserve"> rather, </w:t>
      </w:r>
      <w:r w:rsidR="005E622B">
        <w:rPr>
          <w:shd w:val="clear" w:color="auto" w:fill="FFFFFF"/>
        </w:rPr>
        <w:t>the question is, “W</w:t>
      </w:r>
      <w:r w:rsidR="00022F1D">
        <w:rPr>
          <w:shd w:val="clear" w:color="auto" w:fill="FFFFFF"/>
        </w:rPr>
        <w:t xml:space="preserve">here can MLPs swing back into clinical conversations and use their expertise </w:t>
      </w:r>
      <w:r w:rsidR="005E622B">
        <w:rPr>
          <w:shd w:val="clear" w:color="auto" w:fill="FFFFFF"/>
        </w:rPr>
        <w:t xml:space="preserve">to improve </w:t>
      </w:r>
      <w:r w:rsidR="002109AD">
        <w:rPr>
          <w:shd w:val="clear" w:color="auto" w:fill="FFFFFF"/>
        </w:rPr>
        <w:t xml:space="preserve">a </w:t>
      </w:r>
      <w:r w:rsidR="00022F1D">
        <w:rPr>
          <w:shd w:val="clear" w:color="auto" w:fill="FFFFFF"/>
        </w:rPr>
        <w:t>patient</w:t>
      </w:r>
      <w:r w:rsidR="002109AD">
        <w:rPr>
          <w:shd w:val="clear" w:color="auto" w:fill="FFFFFF"/>
        </w:rPr>
        <w:t>’</w:t>
      </w:r>
      <w:r w:rsidR="00022F1D">
        <w:rPr>
          <w:shd w:val="clear" w:color="auto" w:fill="FFFFFF"/>
        </w:rPr>
        <w:t>s</w:t>
      </w:r>
      <w:r w:rsidR="005E622B">
        <w:rPr>
          <w:shd w:val="clear" w:color="auto" w:fill="FFFFFF"/>
        </w:rPr>
        <w:t xml:space="preserve"> care journey?”</w:t>
      </w:r>
    </w:p>
    <w:p w14:paraId="528ECF7A" w14:textId="7739F780" w:rsidR="008F27D3" w:rsidRDefault="006761CA" w:rsidP="008F3593">
      <w:pPr>
        <w:pStyle w:val="CSMLS-Body"/>
        <w:spacing w:before="240" w:line="276" w:lineRule="auto"/>
        <w:jc w:val="center"/>
        <w:rPr>
          <w:shd w:val="clear" w:color="auto" w:fill="FFFFFF"/>
        </w:rPr>
      </w:pPr>
      <w:hyperlink r:id="rId15" w:history="1">
        <w:r w:rsidR="00022F1D" w:rsidRPr="005E622B">
          <w:rPr>
            <w:rStyle w:val="Hyperlink"/>
            <w:shd w:val="clear" w:color="auto" w:fill="FFFFFF"/>
          </w:rPr>
          <w:t>T</w:t>
        </w:r>
        <w:r w:rsidR="00BA35AF" w:rsidRPr="005E622B">
          <w:rPr>
            <w:rStyle w:val="Hyperlink"/>
            <w:shd w:val="clear" w:color="auto" w:fill="FFFFFF"/>
          </w:rPr>
          <w:t xml:space="preserve">here is room </w:t>
        </w:r>
        <w:r w:rsidR="00022F1D" w:rsidRPr="005E622B">
          <w:rPr>
            <w:rStyle w:val="Hyperlink"/>
            <w:shd w:val="clear" w:color="auto" w:fill="FFFFFF"/>
          </w:rPr>
          <w:t xml:space="preserve">to grow and </w:t>
        </w:r>
        <w:r w:rsidR="00BA35AF" w:rsidRPr="005E622B">
          <w:rPr>
            <w:rStyle w:val="Hyperlink"/>
            <w:shd w:val="clear" w:color="auto" w:fill="FFFFFF"/>
          </w:rPr>
          <w:t>improve communication.</w:t>
        </w:r>
      </w:hyperlink>
    </w:p>
    <w:p w14:paraId="7016CE4A" w14:textId="7DB335B3" w:rsidR="003B24FD" w:rsidRPr="00CA5306" w:rsidRDefault="003B24FD" w:rsidP="003B24FD">
      <w:pPr>
        <w:rPr>
          <w:rFonts w:cstheme="minorHAnsi"/>
        </w:rPr>
      </w:pPr>
      <w:r w:rsidRPr="00CA5306">
        <w:rPr>
          <w:rFonts w:cstheme="minorHAnsi"/>
        </w:rPr>
        <w:t xml:space="preserve">Traditionally, ordering practices have been left to the discretion of individual health care </w:t>
      </w:r>
      <w:r>
        <w:rPr>
          <w:rFonts w:cstheme="minorHAnsi"/>
        </w:rPr>
        <w:t>professionals</w:t>
      </w:r>
      <w:r w:rsidRPr="00CA5306">
        <w:rPr>
          <w:rFonts w:cstheme="minorHAnsi"/>
        </w:rPr>
        <w:t xml:space="preserve">. Although these </w:t>
      </w:r>
      <w:r>
        <w:rPr>
          <w:rFonts w:cstheme="minorHAnsi"/>
        </w:rPr>
        <w:t>groups</w:t>
      </w:r>
      <w:r w:rsidRPr="00CA5306">
        <w:rPr>
          <w:rFonts w:cstheme="minorHAnsi"/>
        </w:rPr>
        <w:t xml:space="preserve"> have contributed significantly to improving the </w:t>
      </w:r>
      <w:r>
        <w:rPr>
          <w:rFonts w:cstheme="minorHAnsi"/>
        </w:rPr>
        <w:t xml:space="preserve">value of </w:t>
      </w:r>
      <w:r w:rsidRPr="00CA5306">
        <w:rPr>
          <w:rFonts w:cstheme="minorHAnsi"/>
        </w:rPr>
        <w:t>laborator</w:t>
      </w:r>
      <w:r w:rsidR="008C6F9E">
        <w:rPr>
          <w:rFonts w:cstheme="minorHAnsi"/>
        </w:rPr>
        <w:t>y</w:t>
      </w:r>
      <w:r w:rsidRPr="00CA5306">
        <w:rPr>
          <w:rFonts w:cstheme="minorHAnsi"/>
        </w:rPr>
        <w:t xml:space="preserve"> </w:t>
      </w:r>
      <w:r>
        <w:rPr>
          <w:rFonts w:cstheme="minorHAnsi"/>
        </w:rPr>
        <w:t xml:space="preserve">tests </w:t>
      </w:r>
      <w:r w:rsidRPr="00CA5306">
        <w:rPr>
          <w:rFonts w:cstheme="minorHAnsi"/>
        </w:rPr>
        <w:t>and patient care, opportunities for novel approaches to improve the resource stewardship exist. In recent years</w:t>
      </w:r>
      <w:r>
        <w:rPr>
          <w:rFonts w:cstheme="minorHAnsi"/>
        </w:rPr>
        <w:t>,</w:t>
      </w:r>
      <w:r w:rsidRPr="00CA5306">
        <w:rPr>
          <w:rFonts w:cstheme="minorHAnsi"/>
        </w:rPr>
        <w:t xml:space="preserve"> </w:t>
      </w:r>
      <w:hyperlink r:id="rId16" w:history="1">
        <w:r w:rsidRPr="003B24FD">
          <w:rPr>
            <w:rStyle w:val="Hyperlink"/>
            <w:rFonts w:cstheme="minorHAnsi"/>
          </w:rPr>
          <w:t>significant national and international efforts</w:t>
        </w:r>
      </w:hyperlink>
      <w:r w:rsidRPr="00CA5306">
        <w:rPr>
          <w:rFonts w:cstheme="minorHAnsi"/>
        </w:rPr>
        <w:t xml:space="preserve"> </w:t>
      </w:r>
      <w:r>
        <w:rPr>
          <w:rFonts w:cstheme="minorHAnsi"/>
        </w:rPr>
        <w:t xml:space="preserve">have focused on </w:t>
      </w:r>
      <w:r w:rsidRPr="00CA5306">
        <w:rPr>
          <w:rFonts w:cstheme="minorHAnsi"/>
        </w:rPr>
        <w:t xml:space="preserve">improving health care </w:t>
      </w:r>
      <w:r>
        <w:rPr>
          <w:rFonts w:cstheme="minorHAnsi"/>
        </w:rPr>
        <w:t xml:space="preserve">value </w:t>
      </w:r>
      <w:r w:rsidRPr="00CA5306">
        <w:rPr>
          <w:rFonts w:cstheme="minorHAnsi"/>
        </w:rPr>
        <w:t>through appropriate utilization management of laboratory tests.</w:t>
      </w:r>
      <w:r>
        <w:rPr>
          <w:rFonts w:cstheme="minorHAnsi"/>
        </w:rPr>
        <w:t xml:space="preserve"> These efforts, at their core, are </w:t>
      </w:r>
      <w:hyperlink r:id="rId17" w:history="1">
        <w:r w:rsidRPr="003B24FD">
          <w:rPr>
            <w:rStyle w:val="Hyperlink"/>
            <w:rFonts w:cstheme="minorHAnsi"/>
          </w:rPr>
          <w:t xml:space="preserve">based on the concept of improving communication through knowledge </w:t>
        </w:r>
        <w:r w:rsidR="003C1E8D">
          <w:rPr>
            <w:rStyle w:val="Hyperlink"/>
            <w:rFonts w:cstheme="minorHAnsi"/>
          </w:rPr>
          <w:t xml:space="preserve">seeking and knowledge </w:t>
        </w:r>
        <w:r w:rsidRPr="003B24FD">
          <w:rPr>
            <w:rStyle w:val="Hyperlink"/>
            <w:rFonts w:cstheme="minorHAnsi"/>
          </w:rPr>
          <w:t>exchange.</w:t>
        </w:r>
      </w:hyperlink>
      <w:r>
        <w:rPr>
          <w:rFonts w:cstheme="minorHAnsi"/>
        </w:rPr>
        <w:t xml:space="preserve"> </w:t>
      </w:r>
    </w:p>
    <w:p w14:paraId="36CC12E5" w14:textId="63D30114" w:rsidR="003B24FD" w:rsidRPr="003B24FD" w:rsidRDefault="00F8624B" w:rsidP="003B24FD">
      <w:pPr>
        <w:pStyle w:val="ListParagraph"/>
        <w:numPr>
          <w:ilvl w:val="0"/>
          <w:numId w:val="25"/>
        </w:numPr>
        <w:spacing w:before="240"/>
        <w:rPr>
          <w:rFonts w:ascii="Rockwell" w:hAnsi="Rockwell"/>
          <w:shd w:val="clear" w:color="auto" w:fill="FFFFFF"/>
        </w:rPr>
      </w:pPr>
      <w:r w:rsidRPr="003B24FD">
        <w:rPr>
          <w:rFonts w:ascii="Rockwell" w:hAnsi="Rockwell"/>
          <w:shd w:val="clear" w:color="auto" w:fill="FFFFFF"/>
        </w:rPr>
        <w:t xml:space="preserve">A 2017 study conducted by the </w:t>
      </w:r>
      <w:hyperlink r:id="rId18" w:history="1">
        <w:r w:rsidRPr="003B24FD">
          <w:rPr>
            <w:rStyle w:val="Hyperlink"/>
            <w:rFonts w:ascii="Rockwell" w:hAnsi="Rockwell"/>
            <w:shd w:val="clear" w:color="auto" w:fill="FFFFFF"/>
          </w:rPr>
          <w:t>Canadian Institute for Health Information</w:t>
        </w:r>
      </w:hyperlink>
      <w:r w:rsidRPr="003B24FD">
        <w:rPr>
          <w:rFonts w:ascii="Rockwell" w:hAnsi="Rockwell"/>
          <w:shd w:val="clear" w:color="auto" w:fill="FFFFFF"/>
        </w:rPr>
        <w:t xml:space="preserve"> found that as many as 30% of all medical tests, treatments and procedures in Canada may be unnecessary. </w:t>
      </w:r>
    </w:p>
    <w:p w14:paraId="227EBE84" w14:textId="5F2012A8" w:rsidR="003B24FD" w:rsidRPr="003B24FD" w:rsidRDefault="00F8624B" w:rsidP="003B24FD">
      <w:pPr>
        <w:pStyle w:val="ListParagraph"/>
        <w:numPr>
          <w:ilvl w:val="0"/>
          <w:numId w:val="25"/>
        </w:numPr>
        <w:spacing w:before="240"/>
        <w:rPr>
          <w:rFonts w:ascii="Rockwell" w:hAnsi="Rockwell"/>
          <w:shd w:val="clear" w:color="auto" w:fill="FFFFFF"/>
        </w:rPr>
      </w:pPr>
      <w:r w:rsidRPr="003B24FD">
        <w:rPr>
          <w:rFonts w:ascii="Rockwell" w:hAnsi="Rockwell"/>
          <w:shd w:val="clear" w:color="auto" w:fill="FFFFFF"/>
        </w:rPr>
        <w:t xml:space="preserve">Other studies have </w:t>
      </w:r>
      <w:hyperlink r:id="rId19" w:history="1">
        <w:r w:rsidRPr="003B24FD">
          <w:rPr>
            <w:rStyle w:val="Hyperlink"/>
            <w:rFonts w:ascii="Rockwell" w:hAnsi="Rockwell"/>
            <w:shd w:val="clear" w:color="auto" w:fill="FFFFFF"/>
          </w:rPr>
          <w:t>estimated that 20</w:t>
        </w:r>
        <w:r w:rsidR="008C6F9E">
          <w:rPr>
            <w:rStyle w:val="Hyperlink"/>
            <w:rFonts w:ascii="Rockwell" w:hAnsi="Rockwell"/>
            <w:shd w:val="clear" w:color="auto" w:fill="FFFFFF"/>
          </w:rPr>
          <w:t>–</w:t>
        </w:r>
        <w:r w:rsidRPr="003B24FD">
          <w:rPr>
            <w:rStyle w:val="Hyperlink"/>
            <w:rFonts w:ascii="Rockwell" w:hAnsi="Rockwell"/>
            <w:shd w:val="clear" w:color="auto" w:fill="FFFFFF"/>
          </w:rPr>
          <w:t>50% of all testing is inappropriately ordered</w:t>
        </w:r>
      </w:hyperlink>
      <w:r w:rsidRPr="003B24FD">
        <w:rPr>
          <w:rFonts w:ascii="Rockwell" w:hAnsi="Rockwell"/>
          <w:shd w:val="clear" w:color="auto" w:fill="FFFFFF"/>
        </w:rPr>
        <w:t xml:space="preserve"> (</w:t>
      </w:r>
      <w:r w:rsidR="008C6F9E">
        <w:rPr>
          <w:rFonts w:ascii="Rockwell" w:hAnsi="Rockwell"/>
          <w:shd w:val="clear" w:color="auto" w:fill="FFFFFF"/>
        </w:rPr>
        <w:t xml:space="preserve">i.e., </w:t>
      </w:r>
      <w:r w:rsidRPr="003B24FD">
        <w:rPr>
          <w:rFonts w:ascii="Rockwell" w:hAnsi="Rockwell"/>
          <w:shd w:val="clear" w:color="auto" w:fill="FFFFFF"/>
        </w:rPr>
        <w:t>an incorrect test, a redundant test or a correct test ordered at the wrong time).</w:t>
      </w:r>
      <w:r w:rsidR="003B24FD" w:rsidRPr="003B24FD">
        <w:rPr>
          <w:rFonts w:ascii="Rockwell" w:hAnsi="Rockwell"/>
          <w:shd w:val="clear" w:color="auto" w:fill="FFFFFF"/>
        </w:rPr>
        <w:t xml:space="preserve"> </w:t>
      </w:r>
    </w:p>
    <w:p w14:paraId="753C3CD7" w14:textId="69ECFA93" w:rsidR="00F8624B" w:rsidRPr="003B24FD" w:rsidRDefault="00F8624B" w:rsidP="003B24FD">
      <w:pPr>
        <w:pStyle w:val="ListParagraph"/>
        <w:numPr>
          <w:ilvl w:val="0"/>
          <w:numId w:val="25"/>
        </w:numPr>
        <w:spacing w:before="240"/>
        <w:rPr>
          <w:rFonts w:ascii="Rockwell" w:hAnsi="Rockwell"/>
          <w:shd w:val="clear" w:color="auto" w:fill="FFFFFF"/>
        </w:rPr>
      </w:pPr>
      <w:r w:rsidRPr="003B24FD">
        <w:rPr>
          <w:rFonts w:ascii="Rockwell" w:hAnsi="Rockwell"/>
          <w:shd w:val="clear" w:color="auto" w:fill="FFFFFF"/>
        </w:rPr>
        <w:t xml:space="preserve">Canadian data suggests that almost $6 billion is spent annually on laboratory testing by provincial and territorial governments, and </w:t>
      </w:r>
      <w:hyperlink r:id="rId20" w:history="1">
        <w:r w:rsidRPr="003B24FD">
          <w:rPr>
            <w:rStyle w:val="Hyperlink"/>
            <w:rFonts w:ascii="Rockwell" w:hAnsi="Rockwell"/>
            <w:shd w:val="clear" w:color="auto" w:fill="FFFFFF"/>
          </w:rPr>
          <w:t>about 10% of that is unnecessary ($600 million)</w:t>
        </w:r>
      </w:hyperlink>
      <w:r w:rsidRPr="003B24FD">
        <w:rPr>
          <w:rFonts w:ascii="Rockwell" w:hAnsi="Rockwell"/>
          <w:shd w:val="clear" w:color="auto" w:fill="FFFFFF"/>
        </w:rPr>
        <w:t xml:space="preserve">.  </w:t>
      </w:r>
    </w:p>
    <w:p w14:paraId="5EFEB449" w14:textId="612BA1B1" w:rsidR="00125620" w:rsidRDefault="00125620" w:rsidP="00125620">
      <w:pPr>
        <w:rPr>
          <w:b/>
        </w:rPr>
      </w:pPr>
      <w:r w:rsidRPr="00125620">
        <w:rPr>
          <w:b/>
          <w:color w:val="000000"/>
          <w:shd w:val="clear" w:color="auto" w:fill="FFFFFF"/>
        </w:rPr>
        <w:t>H</w:t>
      </w:r>
      <w:r w:rsidRPr="00984A4F">
        <w:rPr>
          <w:b/>
        </w:rPr>
        <w:t xml:space="preserve">ow </w:t>
      </w:r>
      <w:r w:rsidR="00F44926">
        <w:rPr>
          <w:b/>
        </w:rPr>
        <w:t>do MLPs</w:t>
      </w:r>
      <w:r w:rsidRPr="00984A4F">
        <w:rPr>
          <w:b/>
        </w:rPr>
        <w:t xml:space="preserve"> fit into the </w:t>
      </w:r>
      <w:r w:rsidR="00F44926">
        <w:rPr>
          <w:b/>
        </w:rPr>
        <w:t>clinical</w:t>
      </w:r>
      <w:r w:rsidRPr="00984A4F">
        <w:rPr>
          <w:b/>
        </w:rPr>
        <w:t xml:space="preserve"> conversation?</w:t>
      </w:r>
      <w:r>
        <w:rPr>
          <w:b/>
        </w:rPr>
        <w:t xml:space="preserve"> </w:t>
      </w:r>
    </w:p>
    <w:p w14:paraId="550E9B35" w14:textId="5BD89DF2" w:rsidR="00BA35AF" w:rsidRDefault="00BA35AF" w:rsidP="00125620">
      <w:pPr>
        <w:rPr>
          <w:shd w:val="clear" w:color="auto" w:fill="FFFFFF"/>
        </w:rPr>
      </w:pPr>
      <w:r>
        <w:rPr>
          <w:shd w:val="clear" w:color="auto" w:fill="FFFFFF"/>
        </w:rPr>
        <w:t xml:space="preserve">MLPs are experts in their field and can take on </w:t>
      </w:r>
      <w:hyperlink r:id="rId21" w:history="1">
        <w:r w:rsidRPr="00787B01">
          <w:rPr>
            <w:rStyle w:val="Hyperlink"/>
            <w:shd w:val="clear" w:color="auto" w:fill="FFFFFF"/>
          </w:rPr>
          <w:t>knowledge agent</w:t>
        </w:r>
      </w:hyperlink>
      <w:r w:rsidR="003B24FD">
        <w:rPr>
          <w:shd w:val="clear" w:color="auto" w:fill="FFFFFF"/>
        </w:rPr>
        <w:t xml:space="preserve"> roles</w:t>
      </w:r>
      <w:r>
        <w:rPr>
          <w:shd w:val="clear" w:color="auto" w:fill="FFFFFF"/>
        </w:rPr>
        <w:t xml:space="preserve">, providing an abundance of laboratory testing </w:t>
      </w:r>
      <w:r w:rsidR="004D38E9" w:rsidRPr="00BA35AF">
        <w:rPr>
          <w:shd w:val="clear" w:color="auto" w:fill="FFFFFF"/>
        </w:rPr>
        <w:t xml:space="preserve">information </w:t>
      </w:r>
      <w:r>
        <w:rPr>
          <w:shd w:val="clear" w:color="auto" w:fill="FFFFFF"/>
        </w:rPr>
        <w:t xml:space="preserve">gathered during their </w:t>
      </w:r>
      <w:r w:rsidR="004D38E9" w:rsidRPr="00BA35AF">
        <w:rPr>
          <w:shd w:val="clear" w:color="auto" w:fill="FFFFFF"/>
        </w:rPr>
        <w:t>training</w:t>
      </w:r>
      <w:r>
        <w:rPr>
          <w:shd w:val="clear" w:color="auto" w:fill="FFFFFF"/>
        </w:rPr>
        <w:t xml:space="preserve"> and work experience</w:t>
      </w:r>
      <w:r w:rsidR="004D38E9" w:rsidRPr="00BA35AF">
        <w:rPr>
          <w:shd w:val="clear" w:color="auto" w:fill="FFFFFF"/>
        </w:rPr>
        <w:t xml:space="preserve">. </w:t>
      </w:r>
      <w:r>
        <w:rPr>
          <w:shd w:val="clear" w:color="auto" w:fill="FFFFFF"/>
        </w:rPr>
        <w:t xml:space="preserve">However, as noted, MLPs may not find themselves </w:t>
      </w:r>
      <w:r w:rsidR="004D38E9" w:rsidRPr="00BA35AF">
        <w:rPr>
          <w:shd w:val="clear" w:color="auto" w:fill="FFFFFF"/>
        </w:rPr>
        <w:t xml:space="preserve">engaging </w:t>
      </w:r>
      <w:r w:rsidR="00EC7CF2">
        <w:rPr>
          <w:shd w:val="clear" w:color="auto" w:fill="FFFFFF"/>
        </w:rPr>
        <w:t xml:space="preserve">often </w:t>
      </w:r>
      <w:r w:rsidR="004D38E9" w:rsidRPr="00BA35AF">
        <w:rPr>
          <w:shd w:val="clear" w:color="auto" w:fill="FFFFFF"/>
        </w:rPr>
        <w:t xml:space="preserve">with clinical colleagues outside of the </w:t>
      </w:r>
      <w:r w:rsidR="00787B01" w:rsidRPr="00BA35AF">
        <w:rPr>
          <w:shd w:val="clear" w:color="auto" w:fill="FFFFFF"/>
        </w:rPr>
        <w:t>laboratory</w:t>
      </w:r>
      <w:r>
        <w:rPr>
          <w:shd w:val="clear" w:color="auto" w:fill="FFFFFF"/>
        </w:rPr>
        <w:t>.</w:t>
      </w:r>
      <w:r w:rsidR="0085324B">
        <w:rPr>
          <w:shd w:val="clear" w:color="auto" w:fill="FFFFFF"/>
        </w:rPr>
        <w:t xml:space="preserve"> </w:t>
      </w:r>
      <w:r w:rsidR="006E6B23">
        <w:rPr>
          <w:shd w:val="clear" w:color="auto" w:fill="FFFFFF"/>
        </w:rPr>
        <w:t xml:space="preserve">This was echoed in our </w:t>
      </w:r>
      <w:r w:rsidR="0085324B">
        <w:rPr>
          <w:shd w:val="clear" w:color="auto" w:fill="FFFFFF"/>
        </w:rPr>
        <w:t xml:space="preserve">Hot Spot Review survey </w:t>
      </w:r>
      <w:r w:rsidR="006E6B23">
        <w:rPr>
          <w:shd w:val="clear" w:color="auto" w:fill="FFFFFF"/>
        </w:rPr>
        <w:t>responses</w:t>
      </w:r>
      <w:r w:rsidR="0085324B">
        <w:rPr>
          <w:shd w:val="clear" w:color="auto" w:fill="FFFFFF"/>
        </w:rPr>
        <w:t>:</w:t>
      </w:r>
    </w:p>
    <w:p w14:paraId="7E33C0C8" w14:textId="4920555C" w:rsidR="0085324B" w:rsidRPr="006E6B23" w:rsidRDefault="004334E9" w:rsidP="0085324B">
      <w:pPr>
        <w:pStyle w:val="CSMLS-Body"/>
        <w:numPr>
          <w:ilvl w:val="0"/>
          <w:numId w:val="20"/>
        </w:numPr>
        <w:rPr>
          <w:szCs w:val="22"/>
          <w:shd w:val="clear" w:color="auto" w:fill="FFFFFF"/>
        </w:rPr>
      </w:pPr>
      <w:r>
        <w:rPr>
          <w:szCs w:val="22"/>
          <w:shd w:val="clear" w:color="auto" w:fill="FFFFFF"/>
        </w:rPr>
        <w:t xml:space="preserve">78% </w:t>
      </w:r>
      <w:r w:rsidR="0085324B" w:rsidRPr="006E6B23">
        <w:rPr>
          <w:szCs w:val="22"/>
          <w:shd w:val="clear" w:color="auto" w:fill="FFFFFF"/>
        </w:rPr>
        <w:t>said they never contribute</w:t>
      </w:r>
      <w:r w:rsidR="00D129D8">
        <w:rPr>
          <w:szCs w:val="22"/>
          <w:shd w:val="clear" w:color="auto" w:fill="FFFFFF"/>
        </w:rPr>
        <w:t>d</w:t>
      </w:r>
      <w:r w:rsidR="0085324B" w:rsidRPr="006E6B23">
        <w:rPr>
          <w:szCs w:val="22"/>
          <w:shd w:val="clear" w:color="auto" w:fill="FFFFFF"/>
        </w:rPr>
        <w:t xml:space="preserve"> to clinical conversations with patients and families.</w:t>
      </w:r>
    </w:p>
    <w:p w14:paraId="3E33B60E" w14:textId="4E49E5A6" w:rsidR="00BA35AF" w:rsidRPr="006E6B23" w:rsidRDefault="004334E9" w:rsidP="0085324B">
      <w:pPr>
        <w:pStyle w:val="CSMLS-Body"/>
        <w:numPr>
          <w:ilvl w:val="0"/>
          <w:numId w:val="20"/>
        </w:numPr>
        <w:rPr>
          <w:szCs w:val="22"/>
          <w:shd w:val="clear" w:color="auto" w:fill="FFFFFF"/>
        </w:rPr>
      </w:pPr>
      <w:r>
        <w:rPr>
          <w:szCs w:val="22"/>
          <w:shd w:val="clear" w:color="auto" w:fill="FFFFFF"/>
        </w:rPr>
        <w:t xml:space="preserve">86% </w:t>
      </w:r>
      <w:r w:rsidR="00C44BB8" w:rsidRPr="006E6B23">
        <w:rPr>
          <w:szCs w:val="22"/>
          <w:shd w:val="clear" w:color="auto" w:fill="FFFFFF"/>
        </w:rPr>
        <w:t>believe</w:t>
      </w:r>
      <w:r w:rsidR="00C005B2">
        <w:rPr>
          <w:szCs w:val="22"/>
          <w:shd w:val="clear" w:color="auto" w:fill="FFFFFF"/>
        </w:rPr>
        <w:t>d</w:t>
      </w:r>
      <w:r w:rsidR="00C44BB8" w:rsidRPr="006E6B23">
        <w:rPr>
          <w:szCs w:val="22"/>
          <w:shd w:val="clear" w:color="auto" w:fill="FFFFFF"/>
        </w:rPr>
        <w:t xml:space="preserve"> they should be involved in clinical conversations with health care professionals more often.</w:t>
      </w:r>
    </w:p>
    <w:p w14:paraId="203F4F69" w14:textId="03AF080E" w:rsidR="0085324B" w:rsidRPr="006E6B23" w:rsidRDefault="004334E9" w:rsidP="0049184B">
      <w:pPr>
        <w:pStyle w:val="CSMLS-Body"/>
        <w:numPr>
          <w:ilvl w:val="0"/>
          <w:numId w:val="19"/>
        </w:numPr>
        <w:rPr>
          <w:rFonts w:eastAsia="Times New Roman" w:cs="Calibri"/>
          <w:color w:val="000000"/>
          <w:szCs w:val="22"/>
          <w:lang w:eastAsia="en-CA"/>
        </w:rPr>
      </w:pPr>
      <w:r>
        <w:rPr>
          <w:rFonts w:eastAsia="Times New Roman" w:cs="Calibri"/>
          <w:color w:val="000000"/>
          <w:szCs w:val="22"/>
          <w:lang w:eastAsia="en-CA"/>
        </w:rPr>
        <w:t xml:space="preserve">71% </w:t>
      </w:r>
      <w:bookmarkStart w:id="0" w:name="_GoBack"/>
      <w:bookmarkEnd w:id="0"/>
      <w:r w:rsidR="00787B01" w:rsidRPr="006E6B23">
        <w:rPr>
          <w:rFonts w:eastAsia="Times New Roman" w:cs="Calibri"/>
          <w:color w:val="000000"/>
          <w:szCs w:val="22"/>
          <w:lang w:eastAsia="en-CA"/>
        </w:rPr>
        <w:t xml:space="preserve">said there had been </w:t>
      </w:r>
      <w:r w:rsidR="0085324B" w:rsidRPr="006E6B23">
        <w:rPr>
          <w:rFonts w:eastAsia="Times New Roman" w:cs="Calibri"/>
          <w:color w:val="000000"/>
          <w:szCs w:val="22"/>
          <w:lang w:eastAsia="en-CA"/>
        </w:rPr>
        <w:t xml:space="preserve">a decline in </w:t>
      </w:r>
      <w:r w:rsidR="00787B01" w:rsidRPr="006E6B23">
        <w:rPr>
          <w:rFonts w:eastAsia="Times New Roman" w:cs="Calibri"/>
          <w:color w:val="000000"/>
          <w:szCs w:val="22"/>
          <w:lang w:eastAsia="en-CA"/>
        </w:rPr>
        <w:t xml:space="preserve">medical laboratory technologists </w:t>
      </w:r>
      <w:r w:rsidR="0085324B" w:rsidRPr="006E6B23">
        <w:rPr>
          <w:rFonts w:eastAsia="Times New Roman" w:cs="Calibri"/>
          <w:color w:val="000000"/>
          <w:szCs w:val="22"/>
          <w:lang w:eastAsia="en-CA"/>
        </w:rPr>
        <w:t>participating in clinical conversations</w:t>
      </w:r>
      <w:r w:rsidR="00587CD0">
        <w:rPr>
          <w:rFonts w:eastAsia="Times New Roman" w:cs="Calibri"/>
          <w:color w:val="000000"/>
          <w:szCs w:val="22"/>
          <w:lang w:eastAsia="en-CA"/>
        </w:rPr>
        <w:t>,</w:t>
      </w:r>
      <w:r w:rsidR="00787B01" w:rsidRPr="006E6B23">
        <w:rPr>
          <w:rFonts w:eastAsia="Times New Roman" w:cs="Calibri"/>
          <w:color w:val="000000"/>
          <w:szCs w:val="22"/>
          <w:lang w:eastAsia="en-CA"/>
        </w:rPr>
        <w:t xml:space="preserve"> and </w:t>
      </w:r>
      <w:r w:rsidR="0085324B" w:rsidRPr="006E6B23">
        <w:rPr>
          <w:rFonts w:eastAsia="Times New Roman" w:cs="Calibri"/>
          <w:color w:val="000000"/>
          <w:szCs w:val="22"/>
          <w:lang w:eastAsia="en-CA"/>
        </w:rPr>
        <w:t xml:space="preserve">67% </w:t>
      </w:r>
      <w:r w:rsidR="00787B01" w:rsidRPr="006E6B23">
        <w:rPr>
          <w:rFonts w:eastAsia="Times New Roman" w:cs="Calibri"/>
          <w:color w:val="000000"/>
          <w:szCs w:val="22"/>
          <w:lang w:eastAsia="en-CA"/>
        </w:rPr>
        <w:t xml:space="preserve">said there was a similar decline for </w:t>
      </w:r>
      <w:r w:rsidR="0085324B" w:rsidRPr="006E6B23">
        <w:rPr>
          <w:rFonts w:eastAsia="Times New Roman" w:cs="Calibri"/>
          <w:color w:val="000000"/>
          <w:szCs w:val="22"/>
          <w:lang w:eastAsia="en-CA"/>
        </w:rPr>
        <w:t>medical laboratory assistants.</w:t>
      </w:r>
    </w:p>
    <w:p w14:paraId="273EA466" w14:textId="08750EC4" w:rsidR="004A257E" w:rsidRDefault="004A257E" w:rsidP="004A257E">
      <w:pPr>
        <w:pStyle w:val="CSMLS-Body"/>
        <w:spacing w:line="276" w:lineRule="auto"/>
        <w:rPr>
          <w:shd w:val="clear" w:color="auto" w:fill="FFFFFF"/>
        </w:rPr>
      </w:pPr>
      <w:r w:rsidRPr="003C1E8D">
        <w:rPr>
          <w:rFonts w:cstheme="minorHAnsi"/>
          <w:color w:val="000000"/>
          <w:shd w:val="clear" w:color="auto" w:fill="FFFFFF"/>
        </w:rPr>
        <w:t>MLPs and the administration overseeing clinical laboratories have an expanding principled role to safeguard the appropriate utilization of laboratory tests.</w:t>
      </w:r>
      <w:r>
        <w:rPr>
          <w:rFonts w:cstheme="minorHAnsi"/>
          <w:color w:val="000000"/>
          <w:shd w:val="clear" w:color="auto" w:fill="FFFFFF"/>
        </w:rPr>
        <w:t xml:space="preserve"> </w:t>
      </w:r>
      <w:r w:rsidRPr="003C1E8D">
        <w:rPr>
          <w:rFonts w:cstheme="minorHAnsi"/>
          <w:color w:val="000000" w:themeColor="text1"/>
        </w:rPr>
        <w:t xml:space="preserve">A </w:t>
      </w:r>
      <w:hyperlink r:id="rId22" w:history="1">
        <w:r w:rsidRPr="003C1E8D">
          <w:rPr>
            <w:rStyle w:val="Hyperlink"/>
            <w:rFonts w:cstheme="minorHAnsi"/>
          </w:rPr>
          <w:t>systematic review</w:t>
        </w:r>
      </w:hyperlink>
      <w:r w:rsidRPr="003C1E8D">
        <w:rPr>
          <w:rFonts w:cstheme="minorHAnsi"/>
          <w:color w:val="000000" w:themeColor="text1"/>
        </w:rPr>
        <w:t xml:space="preserve"> examined published i</w:t>
      </w:r>
      <w:r w:rsidRPr="003C1E8D">
        <w:rPr>
          <w:rStyle w:val="title-text"/>
          <w:rFonts w:cstheme="minorHAnsi"/>
          <w:color w:val="000000" w:themeColor="text1"/>
        </w:rPr>
        <w:t>nterventions to reduce laboratory test ordering by family physicians and was able to demonstrate the impact clinical laborator</w:t>
      </w:r>
      <w:r w:rsidR="000A4C4E">
        <w:rPr>
          <w:rStyle w:val="title-text"/>
          <w:rFonts w:cstheme="minorHAnsi"/>
          <w:color w:val="000000" w:themeColor="text1"/>
        </w:rPr>
        <w:t>y</w:t>
      </w:r>
      <w:r w:rsidRPr="003C1E8D">
        <w:rPr>
          <w:rStyle w:val="title-text"/>
          <w:rFonts w:cstheme="minorHAnsi"/>
          <w:color w:val="000000" w:themeColor="text1"/>
        </w:rPr>
        <w:t xml:space="preserve"> teams can have. Ten </w:t>
      </w:r>
      <w:r w:rsidRPr="003C1E8D">
        <w:rPr>
          <w:rFonts w:cstheme="minorHAnsi"/>
          <w:color w:val="000000" w:themeColor="text1"/>
        </w:rPr>
        <w:t xml:space="preserve">studies were able to achieve an average testing reduction of 35% within 19 targeted tests. Of these, seven </w:t>
      </w:r>
      <w:r w:rsidRPr="003C1E8D">
        <w:rPr>
          <w:rFonts w:eastAsia="Times New Roman" w:cstheme="minorHAnsi"/>
          <w:color w:val="000000" w:themeColor="text1"/>
          <w:lang w:eastAsia="en-CA"/>
        </w:rPr>
        <w:t>changed laboratory forms (</w:t>
      </w:r>
      <w:r w:rsidRPr="003C1E8D">
        <w:rPr>
          <w:rFonts w:cs="Arial"/>
          <w:color w:val="000000" w:themeColor="text1"/>
          <w:shd w:val="clear" w:color="auto" w:fill="FFFFFF"/>
        </w:rPr>
        <w:t>the two largest involved 5.2 million and 3.2 million tests)</w:t>
      </w:r>
      <w:r w:rsidRPr="003C1E8D">
        <w:rPr>
          <w:rFonts w:eastAsia="Times New Roman" w:cstheme="minorHAnsi"/>
          <w:color w:val="000000" w:themeColor="text1"/>
          <w:lang w:eastAsia="en-CA"/>
        </w:rPr>
        <w:t>, one negotiated a protocol</w:t>
      </w:r>
      <w:r w:rsidRPr="003C1E8D">
        <w:rPr>
          <w:rFonts w:cstheme="minorHAnsi"/>
          <w:color w:val="000000" w:themeColor="text1"/>
        </w:rPr>
        <w:t xml:space="preserve"> </w:t>
      </w:r>
      <w:r w:rsidRPr="003C1E8D">
        <w:rPr>
          <w:rFonts w:eastAsia="Times New Roman" w:cstheme="minorHAnsi"/>
          <w:color w:val="000000" w:themeColor="text1"/>
          <w:lang w:eastAsia="en-CA"/>
        </w:rPr>
        <w:t>with family physicians, two required laboratory approval and one used a feedback model.</w:t>
      </w:r>
      <w:r w:rsidRPr="003C1E8D">
        <w:rPr>
          <w:rStyle w:val="EndnoteReference"/>
          <w:rFonts w:cstheme="minorHAnsi"/>
          <w:color w:val="000000" w:themeColor="text1"/>
        </w:rPr>
        <w:t xml:space="preserve"> </w:t>
      </w:r>
    </w:p>
    <w:p w14:paraId="10FDF2FD" w14:textId="0DC42263" w:rsidR="004A257E" w:rsidRDefault="003C1E8D" w:rsidP="003C1E8D">
      <w:pPr>
        <w:pStyle w:val="CSMLS-Body"/>
        <w:spacing w:line="276" w:lineRule="auto"/>
        <w:rPr>
          <w:shd w:val="clear" w:color="auto" w:fill="FFFFFF"/>
        </w:rPr>
      </w:pPr>
      <w:r w:rsidRPr="003C1E8D">
        <w:rPr>
          <w:shd w:val="clear" w:color="auto" w:fill="FFFFFF"/>
        </w:rPr>
        <w:t xml:space="preserve">The point is, we can make a </w:t>
      </w:r>
      <w:r w:rsidR="00F44926">
        <w:rPr>
          <w:shd w:val="clear" w:color="auto" w:fill="FFFFFF"/>
        </w:rPr>
        <w:t xml:space="preserve">significant </w:t>
      </w:r>
      <w:r w:rsidRPr="003C1E8D">
        <w:rPr>
          <w:shd w:val="clear" w:color="auto" w:fill="FFFFFF"/>
        </w:rPr>
        <w:t>difference to the</w:t>
      </w:r>
      <w:r w:rsidR="008415E2">
        <w:rPr>
          <w:shd w:val="clear" w:color="auto" w:fill="FFFFFF"/>
        </w:rPr>
        <w:t xml:space="preserve"> health system and the</w:t>
      </w:r>
      <w:r w:rsidRPr="003C1E8D">
        <w:rPr>
          <w:shd w:val="clear" w:color="auto" w:fill="FFFFFF"/>
        </w:rPr>
        <w:t xml:space="preserve"> patient’s care path through </w:t>
      </w:r>
      <w:r w:rsidR="00F44926">
        <w:rPr>
          <w:shd w:val="clear" w:color="auto" w:fill="FFFFFF"/>
        </w:rPr>
        <w:t xml:space="preserve">increased </w:t>
      </w:r>
      <w:r w:rsidRPr="003C1E8D">
        <w:rPr>
          <w:shd w:val="clear" w:color="auto" w:fill="FFFFFF"/>
        </w:rPr>
        <w:t xml:space="preserve">clinical conversations. </w:t>
      </w:r>
      <w:r w:rsidR="004A257E">
        <w:rPr>
          <w:shd w:val="clear" w:color="auto" w:fill="FFFFFF"/>
        </w:rPr>
        <w:t>We just need to take hold of it!</w:t>
      </w:r>
    </w:p>
    <w:p w14:paraId="7724C848" w14:textId="77777777" w:rsidR="004A257E" w:rsidRPr="002109AD" w:rsidRDefault="004A257E" w:rsidP="004A257E">
      <w:pPr>
        <w:pStyle w:val="ListParagraph"/>
        <w:numPr>
          <w:ilvl w:val="0"/>
          <w:numId w:val="21"/>
        </w:numPr>
        <w:rPr>
          <w:rFonts w:ascii="Rockwell" w:hAnsi="Rockwell"/>
          <w:i/>
          <w:shd w:val="clear" w:color="auto" w:fill="FFFFFF"/>
        </w:rPr>
      </w:pPr>
      <w:r>
        <w:rPr>
          <w:rFonts w:ascii="Rockwell" w:hAnsi="Rockwell"/>
          <w:i/>
          <w:shd w:val="clear" w:color="auto" w:fill="FFFFFF"/>
        </w:rPr>
        <w:lastRenderedPageBreak/>
        <w:t>“</w:t>
      </w:r>
      <w:r w:rsidRPr="002109AD">
        <w:rPr>
          <w:rFonts w:ascii="Rockwell" w:hAnsi="Rockwell"/>
          <w:i/>
          <w:shd w:val="clear" w:color="auto" w:fill="FFFFFF"/>
        </w:rPr>
        <w:t>Conversing more often helps to exchange ideas and knowledge for the betterment of health care.</w:t>
      </w:r>
      <w:r>
        <w:rPr>
          <w:rFonts w:ascii="Rockwell" w:hAnsi="Rockwell"/>
          <w:i/>
          <w:shd w:val="clear" w:color="auto" w:fill="FFFFFF"/>
        </w:rPr>
        <w:t>”</w:t>
      </w:r>
    </w:p>
    <w:p w14:paraId="59246DA3" w14:textId="1BE40DD0" w:rsidR="004A257E" w:rsidRPr="002109AD" w:rsidRDefault="004A257E" w:rsidP="004A257E">
      <w:pPr>
        <w:pStyle w:val="ListParagraph"/>
        <w:numPr>
          <w:ilvl w:val="0"/>
          <w:numId w:val="21"/>
        </w:numPr>
        <w:rPr>
          <w:rFonts w:ascii="Rockwell" w:hAnsi="Rockwell"/>
          <w:i/>
          <w:shd w:val="clear" w:color="auto" w:fill="FFFFFF"/>
        </w:rPr>
      </w:pPr>
      <w:r>
        <w:rPr>
          <w:rFonts w:ascii="Rockwell" w:hAnsi="Rockwell"/>
          <w:i/>
          <w:shd w:val="clear" w:color="auto" w:fill="FFFFFF"/>
        </w:rPr>
        <w:t>“</w:t>
      </w:r>
      <w:r w:rsidRPr="002109AD">
        <w:rPr>
          <w:rFonts w:ascii="Rockwell" w:hAnsi="Rockwell"/>
          <w:i/>
          <w:shd w:val="clear" w:color="auto" w:fill="FFFFFF"/>
        </w:rPr>
        <w:t>Everyone in health</w:t>
      </w:r>
      <w:r w:rsidR="001C7FD8">
        <w:rPr>
          <w:rFonts w:ascii="Rockwell" w:hAnsi="Rockwell"/>
          <w:i/>
          <w:shd w:val="clear" w:color="auto" w:fill="FFFFFF"/>
        </w:rPr>
        <w:t xml:space="preserve"> </w:t>
      </w:r>
      <w:r w:rsidRPr="002109AD">
        <w:rPr>
          <w:rFonts w:ascii="Rockwell" w:hAnsi="Rockwell"/>
          <w:i/>
          <w:shd w:val="clear" w:color="auto" w:fill="FFFFFF"/>
        </w:rPr>
        <w:t>care has a role and their specialty. Respecting other professionals and their expertise will always result in the most positive and functional solutions. However, frequently frontline staff are disregarded over higher paid and higher authority management.</w:t>
      </w:r>
      <w:r>
        <w:rPr>
          <w:rFonts w:ascii="Rockwell" w:hAnsi="Rockwell"/>
          <w:i/>
          <w:shd w:val="clear" w:color="auto" w:fill="FFFFFF"/>
        </w:rPr>
        <w:t>”</w:t>
      </w:r>
      <w:r w:rsidRPr="002109AD">
        <w:rPr>
          <w:rFonts w:ascii="Rockwell" w:hAnsi="Rockwell"/>
          <w:i/>
          <w:shd w:val="clear" w:color="auto" w:fill="FFFFFF"/>
        </w:rPr>
        <w:t xml:space="preserve">  </w:t>
      </w:r>
    </w:p>
    <w:p w14:paraId="658EED3D" w14:textId="079834AE" w:rsidR="004A257E" w:rsidRPr="002109AD" w:rsidRDefault="004A257E" w:rsidP="004A257E">
      <w:pPr>
        <w:pStyle w:val="ListParagraph"/>
        <w:numPr>
          <w:ilvl w:val="0"/>
          <w:numId w:val="21"/>
        </w:numPr>
        <w:rPr>
          <w:rFonts w:ascii="Rockwell" w:hAnsi="Rockwell"/>
          <w:i/>
          <w:shd w:val="clear" w:color="auto" w:fill="FFFFFF"/>
        </w:rPr>
      </w:pPr>
      <w:r>
        <w:rPr>
          <w:rFonts w:ascii="Rockwell" w:hAnsi="Rockwell"/>
          <w:i/>
          <w:shd w:val="clear" w:color="auto" w:fill="FFFFFF"/>
        </w:rPr>
        <w:t>“</w:t>
      </w:r>
      <w:r w:rsidR="00CE6B68">
        <w:rPr>
          <w:rFonts w:ascii="Rockwell" w:hAnsi="Rockwell"/>
          <w:i/>
          <w:shd w:val="clear" w:color="auto" w:fill="FFFFFF"/>
        </w:rPr>
        <w:t>[</w:t>
      </w:r>
      <w:r w:rsidR="001C7FD8">
        <w:rPr>
          <w:rFonts w:ascii="Rockwell" w:hAnsi="Rockwell"/>
          <w:i/>
          <w:shd w:val="clear" w:color="auto" w:fill="FFFFFF"/>
        </w:rPr>
        <w:t>The</w:t>
      </w:r>
      <w:r w:rsidR="00CE6B68">
        <w:rPr>
          <w:rFonts w:ascii="Rockwell" w:hAnsi="Rockwell"/>
          <w:i/>
          <w:shd w:val="clear" w:color="auto" w:fill="FFFFFF"/>
        </w:rPr>
        <w:t>]</w:t>
      </w:r>
      <w:r w:rsidR="001C7FD8">
        <w:rPr>
          <w:rFonts w:ascii="Rockwell" w:hAnsi="Rockwell"/>
          <w:i/>
          <w:shd w:val="clear" w:color="auto" w:fill="FFFFFF"/>
        </w:rPr>
        <w:t xml:space="preserve"> c</w:t>
      </w:r>
      <w:r w:rsidRPr="002109AD">
        <w:rPr>
          <w:rFonts w:ascii="Rockwell" w:hAnsi="Rockwell"/>
          <w:i/>
          <w:shd w:val="clear" w:color="auto" w:fill="FFFFFF"/>
        </w:rPr>
        <w:t>linical picture</w:t>
      </w:r>
      <w:r w:rsidR="00CE6B68">
        <w:rPr>
          <w:rFonts w:ascii="Rockwell" w:hAnsi="Rockwell"/>
          <w:i/>
          <w:shd w:val="clear" w:color="auto" w:fill="FFFFFF"/>
        </w:rPr>
        <w:t xml:space="preserve"> [</w:t>
      </w:r>
      <w:r w:rsidR="001C7FD8">
        <w:rPr>
          <w:rFonts w:ascii="Rockwell" w:hAnsi="Rockwell"/>
          <w:i/>
          <w:shd w:val="clear" w:color="auto" w:fill="FFFFFF"/>
        </w:rPr>
        <w:t>is</w:t>
      </w:r>
      <w:r w:rsidR="00CE6B68">
        <w:rPr>
          <w:rFonts w:ascii="Rockwell" w:hAnsi="Rockwell"/>
          <w:i/>
          <w:shd w:val="clear" w:color="auto" w:fill="FFFFFF"/>
        </w:rPr>
        <w:t>]</w:t>
      </w:r>
      <w:r w:rsidR="001C7FD8">
        <w:rPr>
          <w:rFonts w:ascii="Rockwell" w:hAnsi="Rockwell"/>
          <w:i/>
          <w:shd w:val="clear" w:color="auto" w:fill="FFFFFF"/>
        </w:rPr>
        <w:t xml:space="preserve"> </w:t>
      </w:r>
      <w:r w:rsidRPr="002109AD">
        <w:rPr>
          <w:rFonts w:ascii="Rockwell" w:hAnsi="Rockwell"/>
          <w:i/>
          <w:shd w:val="clear" w:color="auto" w:fill="FFFFFF"/>
        </w:rPr>
        <w:t xml:space="preserve">not always provided by </w:t>
      </w:r>
      <w:r w:rsidR="00CE6B68">
        <w:rPr>
          <w:rFonts w:ascii="Rockwell" w:hAnsi="Rockwell"/>
          <w:i/>
          <w:shd w:val="clear" w:color="auto" w:fill="FFFFFF"/>
        </w:rPr>
        <w:t>[</w:t>
      </w:r>
      <w:r w:rsidR="001C7FD8">
        <w:rPr>
          <w:rFonts w:ascii="Rockwell" w:hAnsi="Rockwell"/>
          <w:i/>
          <w:shd w:val="clear" w:color="auto" w:fill="FFFFFF"/>
        </w:rPr>
        <w:t>the</w:t>
      </w:r>
      <w:r w:rsidR="00CE6B68">
        <w:rPr>
          <w:rFonts w:ascii="Rockwell" w:hAnsi="Rockwell"/>
          <w:i/>
          <w:shd w:val="clear" w:color="auto" w:fill="FFFFFF"/>
        </w:rPr>
        <w:t>]</w:t>
      </w:r>
      <w:r w:rsidR="001C7FD8">
        <w:rPr>
          <w:rFonts w:ascii="Rockwell" w:hAnsi="Rockwell"/>
          <w:i/>
          <w:shd w:val="clear" w:color="auto" w:fill="FFFFFF"/>
        </w:rPr>
        <w:t xml:space="preserve"> </w:t>
      </w:r>
      <w:r w:rsidRPr="002109AD">
        <w:rPr>
          <w:rFonts w:ascii="Rockwell" w:hAnsi="Rockwell"/>
          <w:i/>
          <w:shd w:val="clear" w:color="auto" w:fill="FFFFFF"/>
        </w:rPr>
        <w:t>physician, and is often crucial for understanding atypical results.</w:t>
      </w:r>
      <w:r>
        <w:rPr>
          <w:rFonts w:ascii="Rockwell" w:hAnsi="Rockwell"/>
          <w:i/>
          <w:shd w:val="clear" w:color="auto" w:fill="FFFFFF"/>
        </w:rPr>
        <w:t>”</w:t>
      </w:r>
    </w:p>
    <w:p w14:paraId="1400D37E" w14:textId="75C93CB8" w:rsidR="002A3031" w:rsidRPr="002A3031" w:rsidRDefault="00F8624B" w:rsidP="000237A9">
      <w:pPr>
        <w:rPr>
          <w:shd w:val="clear" w:color="auto" w:fill="FFFFFF"/>
        </w:rPr>
      </w:pPr>
      <w:r w:rsidRPr="002A3031">
        <w:rPr>
          <w:shd w:val="clear" w:color="auto" w:fill="FFFFFF"/>
        </w:rPr>
        <w:t xml:space="preserve">But how can we do that? </w:t>
      </w:r>
      <w:r w:rsidR="002A3031" w:rsidRPr="002A3031">
        <w:rPr>
          <w:shd w:val="clear" w:color="auto" w:fill="FFFFFF"/>
        </w:rPr>
        <w:t xml:space="preserve">Well, it </w:t>
      </w:r>
      <w:r w:rsidR="00F44926">
        <w:rPr>
          <w:shd w:val="clear" w:color="auto" w:fill="FFFFFF"/>
        </w:rPr>
        <w:t xml:space="preserve">all </w:t>
      </w:r>
      <w:r w:rsidR="002A3031" w:rsidRPr="002A3031">
        <w:rPr>
          <w:shd w:val="clear" w:color="auto" w:fill="FFFFFF"/>
        </w:rPr>
        <w:t>start</w:t>
      </w:r>
      <w:r w:rsidR="00F44926">
        <w:rPr>
          <w:shd w:val="clear" w:color="auto" w:fill="FFFFFF"/>
        </w:rPr>
        <w:t>s</w:t>
      </w:r>
      <w:r w:rsidR="002A3031" w:rsidRPr="002A3031">
        <w:rPr>
          <w:shd w:val="clear" w:color="auto" w:fill="FFFFFF"/>
        </w:rPr>
        <w:t xml:space="preserve"> by having a conversation</w:t>
      </w:r>
      <w:r w:rsidR="00F44926">
        <w:rPr>
          <w:shd w:val="clear" w:color="auto" w:fill="FFFFFF"/>
        </w:rPr>
        <w:t>.</w:t>
      </w:r>
    </w:p>
    <w:p w14:paraId="4401EEFD" w14:textId="0DA6D96B" w:rsidR="000237A9" w:rsidRDefault="006761CA" w:rsidP="002A3031">
      <w:pPr>
        <w:ind w:left="720"/>
      </w:pPr>
      <w:hyperlink r:id="rId23" w:history="1">
        <w:r w:rsidR="002A3031" w:rsidRPr="002A3031">
          <w:rPr>
            <w:rStyle w:val="Hyperlink"/>
            <w:shd w:val="clear" w:color="auto" w:fill="FFFFFF"/>
          </w:rPr>
          <w:t>Kathleen Swanson writes</w:t>
        </w:r>
      </w:hyperlink>
      <w:r w:rsidR="002A3031">
        <w:rPr>
          <w:shd w:val="clear" w:color="auto" w:fill="FFFFFF"/>
        </w:rPr>
        <w:t>, “</w:t>
      </w:r>
      <w:r w:rsidR="000237A9" w:rsidRPr="00BA35AF">
        <w:rPr>
          <w:shd w:val="clear" w:color="auto" w:fill="FFFFFF"/>
        </w:rPr>
        <w:t>Building relationships outside the laboratory allows laboratory professionals to identify and understand key drivers of financial issues and patient satisfaction. For example, laboratorians regularly provide consultations to labs around test utilization and interpretation. That same clinical expertise could be used to support disease management programs or decision support tools involving costly conditions such as sepsis in the inpatient setting or diabetes in the outpatient setting</w:t>
      </w:r>
      <w:r w:rsidR="002A3031">
        <w:rPr>
          <w:shd w:val="clear" w:color="auto" w:fill="FFFFFF"/>
        </w:rPr>
        <w:t>.”</w:t>
      </w:r>
    </w:p>
    <w:p w14:paraId="230094F3" w14:textId="59D0DBC1" w:rsidR="004E5C92" w:rsidRPr="002A3031" w:rsidRDefault="006761CA" w:rsidP="002A3031">
      <w:pPr>
        <w:ind w:left="720"/>
      </w:pPr>
      <w:hyperlink r:id="rId24" w:history="1">
        <w:r w:rsidR="002A3031" w:rsidRPr="002A3031">
          <w:rPr>
            <w:rStyle w:val="Hyperlink"/>
            <w:spacing w:val="2"/>
            <w:shd w:val="clear" w:color="auto" w:fill="FFFFFF"/>
          </w:rPr>
          <w:t xml:space="preserve">John </w:t>
        </w:r>
        <w:r w:rsidR="001C7FD8">
          <w:rPr>
            <w:rStyle w:val="Hyperlink"/>
            <w:spacing w:val="2"/>
            <w:shd w:val="clear" w:color="auto" w:fill="FFFFFF"/>
          </w:rPr>
          <w:t xml:space="preserve">David Larkin </w:t>
        </w:r>
        <w:r w:rsidR="002A3031" w:rsidRPr="002A3031">
          <w:rPr>
            <w:rStyle w:val="Hyperlink"/>
            <w:spacing w:val="2"/>
            <w:shd w:val="clear" w:color="auto" w:fill="FFFFFF"/>
          </w:rPr>
          <w:t>Nol</w:t>
        </w:r>
        <w:r w:rsidR="001C7FD8">
          <w:rPr>
            <w:rStyle w:val="Hyperlink"/>
            <w:spacing w:val="2"/>
            <w:shd w:val="clear" w:color="auto" w:fill="FFFFFF"/>
          </w:rPr>
          <w:t>e</w:t>
        </w:r>
        <w:r w:rsidR="002A3031" w:rsidRPr="002A3031">
          <w:rPr>
            <w:rStyle w:val="Hyperlink"/>
            <w:spacing w:val="2"/>
            <w:shd w:val="clear" w:color="auto" w:fill="FFFFFF"/>
          </w:rPr>
          <w:t>n writes</w:t>
        </w:r>
      </w:hyperlink>
      <w:r w:rsidR="002A3031" w:rsidRPr="002A3031">
        <w:rPr>
          <w:color w:val="000000"/>
          <w:spacing w:val="2"/>
          <w:shd w:val="clear" w:color="auto" w:fill="FFFFFF"/>
        </w:rPr>
        <w:t>, “</w:t>
      </w:r>
      <w:r w:rsidR="00F82B76">
        <w:rPr>
          <w:color w:val="000000"/>
          <w:spacing w:val="2"/>
          <w:shd w:val="clear" w:color="auto" w:fill="FFFFFF"/>
        </w:rPr>
        <w:t>[</w:t>
      </w:r>
      <w:r w:rsidR="00D62D46">
        <w:rPr>
          <w:color w:val="000000"/>
          <w:spacing w:val="2"/>
          <w:shd w:val="clear" w:color="auto" w:fill="FFFFFF"/>
        </w:rPr>
        <w:t>…</w:t>
      </w:r>
      <w:r w:rsidR="00F82B76">
        <w:rPr>
          <w:color w:val="000000"/>
          <w:spacing w:val="2"/>
          <w:shd w:val="clear" w:color="auto" w:fill="FFFFFF"/>
        </w:rPr>
        <w:t xml:space="preserve">] </w:t>
      </w:r>
      <w:r w:rsidR="00D62D46">
        <w:rPr>
          <w:color w:val="000000"/>
          <w:spacing w:val="2"/>
          <w:shd w:val="clear" w:color="auto" w:fill="FFFFFF"/>
        </w:rPr>
        <w:t>b</w:t>
      </w:r>
      <w:r w:rsidR="004D38E9" w:rsidRPr="002A3031">
        <w:rPr>
          <w:color w:val="000000"/>
          <w:spacing w:val="2"/>
          <w:shd w:val="clear" w:color="auto" w:fill="FFFFFF"/>
        </w:rPr>
        <w:t>ecome engaged again with the care team and project your knowledge past the conventional confines of the lab report. That report can be seen as just the conversation starter, not the final product of your work. After all, gone are the days when clinicians can effectively consume and utilize a laboratory test menu, both on the ordering and the resulting side. They are having enough trouble just keeping their heads above water with the rapidly changing medical knowledge in their fields and the added pressure and noise of the modern practice of medicine. They want to talk with you!</w:t>
      </w:r>
      <w:r w:rsidR="002A3031" w:rsidRPr="002A3031">
        <w:rPr>
          <w:color w:val="000000"/>
          <w:spacing w:val="2"/>
          <w:shd w:val="clear" w:color="auto" w:fill="FFFFFF"/>
        </w:rPr>
        <w:t>”</w:t>
      </w:r>
      <w:r w:rsidR="004D38E9" w:rsidRPr="002A3031">
        <w:t xml:space="preserve"> </w:t>
      </w:r>
    </w:p>
    <w:p w14:paraId="4C0BF8C6" w14:textId="4CA23422" w:rsidR="002A3031" w:rsidRPr="00984A4F" w:rsidRDefault="002A3031" w:rsidP="002A3031">
      <w:pPr>
        <w:spacing w:line="240" w:lineRule="auto"/>
      </w:pPr>
      <w:r w:rsidRPr="00984A4F">
        <w:rPr>
          <w:b/>
        </w:rPr>
        <w:t xml:space="preserve">How else can </w:t>
      </w:r>
      <w:r>
        <w:rPr>
          <w:b/>
        </w:rPr>
        <w:t>MLPs</w:t>
      </w:r>
      <w:r w:rsidRPr="00984A4F">
        <w:rPr>
          <w:b/>
        </w:rPr>
        <w:t xml:space="preserve"> support </w:t>
      </w:r>
      <w:r>
        <w:rPr>
          <w:b/>
        </w:rPr>
        <w:t>the clinical conversation discussion</w:t>
      </w:r>
      <w:r w:rsidRPr="00984A4F">
        <w:rPr>
          <w:b/>
        </w:rPr>
        <w:t>?</w:t>
      </w:r>
      <w:r>
        <w:rPr>
          <w:b/>
        </w:rPr>
        <w:t xml:space="preserve"> </w:t>
      </w:r>
      <w:r w:rsidRPr="00984A4F">
        <w:t xml:space="preserve">Being an MLP doesn’t mean you have to think of advocacy </w:t>
      </w:r>
      <w:r>
        <w:t xml:space="preserve">only </w:t>
      </w:r>
      <w:r w:rsidRPr="00984A4F">
        <w:t>in terms of the lab. You are also a part of the larger health system. For instance:</w:t>
      </w:r>
    </w:p>
    <w:p w14:paraId="2E899D55" w14:textId="540A130A" w:rsidR="002A3031" w:rsidRDefault="002A3031" w:rsidP="002A3031">
      <w:pPr>
        <w:pStyle w:val="ListParagraph"/>
        <w:numPr>
          <w:ilvl w:val="0"/>
          <w:numId w:val="2"/>
        </w:numPr>
        <w:spacing w:line="240" w:lineRule="auto"/>
        <w:rPr>
          <w:rFonts w:ascii="Rockwell" w:hAnsi="Rockwell"/>
        </w:rPr>
      </w:pPr>
      <w:r>
        <w:rPr>
          <w:rFonts w:ascii="Rockwell" w:hAnsi="Rockwell"/>
        </w:rPr>
        <w:t xml:space="preserve">The next time a health care professional calls the lab, take a moment to ask the individual if there is a laboratory </w:t>
      </w:r>
      <w:proofErr w:type="gramStart"/>
      <w:r>
        <w:rPr>
          <w:rFonts w:ascii="Rockwell" w:hAnsi="Rockwell"/>
        </w:rPr>
        <w:t>test</w:t>
      </w:r>
      <w:proofErr w:type="gramEnd"/>
      <w:r>
        <w:rPr>
          <w:rFonts w:ascii="Rockwell" w:hAnsi="Rockwell"/>
        </w:rPr>
        <w:t xml:space="preserve"> they would like to know more information about. You can always call back or email information when the time is right</w:t>
      </w:r>
      <w:r w:rsidR="00F82B76">
        <w:rPr>
          <w:rFonts w:ascii="Rockwell" w:hAnsi="Rockwell"/>
        </w:rPr>
        <w:t>.</w:t>
      </w:r>
    </w:p>
    <w:p w14:paraId="02539DFF" w14:textId="21894113" w:rsidR="002A3031" w:rsidRDefault="002A3031" w:rsidP="002A3031">
      <w:pPr>
        <w:pStyle w:val="ListParagraph"/>
        <w:numPr>
          <w:ilvl w:val="0"/>
          <w:numId w:val="2"/>
        </w:numPr>
        <w:spacing w:line="240" w:lineRule="auto"/>
        <w:rPr>
          <w:rFonts w:ascii="Rockwell" w:hAnsi="Rockwell"/>
        </w:rPr>
      </w:pPr>
      <w:r>
        <w:rPr>
          <w:rFonts w:ascii="Rockwell" w:hAnsi="Rockwell"/>
        </w:rPr>
        <w:t>Find out what appropriate utilization projects, such as Choosing Wisely Canada projects, are occurring in your organizations</w:t>
      </w:r>
      <w:r w:rsidR="00F82B76">
        <w:rPr>
          <w:rFonts w:ascii="Rockwell" w:hAnsi="Rockwell"/>
        </w:rPr>
        <w:t>.</w:t>
      </w:r>
    </w:p>
    <w:p w14:paraId="1B54E5DB" w14:textId="12F95B70" w:rsidR="002A3031" w:rsidRPr="002A3031" w:rsidRDefault="00F82B76" w:rsidP="008A094A">
      <w:pPr>
        <w:pStyle w:val="ListParagraph"/>
        <w:numPr>
          <w:ilvl w:val="0"/>
          <w:numId w:val="2"/>
        </w:numPr>
        <w:spacing w:line="240" w:lineRule="auto"/>
        <w:rPr>
          <w:rFonts w:cstheme="minorHAnsi"/>
        </w:rPr>
      </w:pPr>
      <w:r>
        <w:rPr>
          <w:rFonts w:ascii="Rockwell" w:hAnsi="Rockwell"/>
        </w:rPr>
        <w:t>H</w:t>
      </w:r>
      <w:r w:rsidR="002A3031">
        <w:rPr>
          <w:rFonts w:ascii="Rockwell" w:hAnsi="Rockwell"/>
        </w:rPr>
        <w:t>elp arrange a laboratory tour for your health care colleagues</w:t>
      </w:r>
      <w:r w:rsidR="00914A5B">
        <w:rPr>
          <w:rFonts w:ascii="Rockwell" w:hAnsi="Rockwell"/>
        </w:rPr>
        <w:t xml:space="preserve"> and</w:t>
      </w:r>
      <w:r w:rsidR="002A3031">
        <w:rPr>
          <w:rFonts w:ascii="Rockwell" w:hAnsi="Rockwell"/>
        </w:rPr>
        <w:t xml:space="preserve"> promote National Med</w:t>
      </w:r>
      <w:r>
        <w:rPr>
          <w:rFonts w:ascii="Rockwell" w:hAnsi="Rockwell"/>
        </w:rPr>
        <w:t>ical</w:t>
      </w:r>
      <w:r w:rsidR="002A3031">
        <w:rPr>
          <w:rFonts w:ascii="Rockwell" w:hAnsi="Rockwell"/>
        </w:rPr>
        <w:t xml:space="preserve"> Lab</w:t>
      </w:r>
      <w:r>
        <w:rPr>
          <w:rFonts w:ascii="Rockwell" w:hAnsi="Rockwell"/>
        </w:rPr>
        <w:t>oratory</w:t>
      </w:r>
      <w:r w:rsidR="002A3031">
        <w:rPr>
          <w:rFonts w:ascii="Rockwell" w:hAnsi="Rockwell"/>
        </w:rPr>
        <w:t xml:space="preserve"> Week to support information sharing while promoting your involvement in clinical conversations</w:t>
      </w:r>
      <w:r w:rsidR="00914A5B">
        <w:rPr>
          <w:rFonts w:ascii="Rockwell" w:hAnsi="Rockwell"/>
        </w:rPr>
        <w:t>.</w:t>
      </w:r>
      <w:r w:rsidR="002A3031">
        <w:rPr>
          <w:rFonts w:ascii="Rockwell" w:hAnsi="Rockwell"/>
        </w:rPr>
        <w:t xml:space="preserve"> </w:t>
      </w:r>
    </w:p>
    <w:p w14:paraId="04554010" w14:textId="59FB5E13" w:rsidR="002A3031" w:rsidRPr="002A3031" w:rsidRDefault="002A3031" w:rsidP="002A3031">
      <w:pPr>
        <w:pStyle w:val="CSMLS-Body"/>
        <w:rPr>
          <w:rFonts w:cstheme="minorHAnsi"/>
        </w:rPr>
      </w:pPr>
      <w:r w:rsidRPr="00984A4F">
        <w:t xml:space="preserve">Add your opinion to the conversation and let your organization know that </w:t>
      </w:r>
      <w:r>
        <w:t>medical laboratory professionals</w:t>
      </w:r>
      <w:r w:rsidRPr="00984A4F">
        <w:t xml:space="preserve"> have something to contribute! </w:t>
      </w:r>
    </w:p>
    <w:p w14:paraId="0668DAE3" w14:textId="7FA1E478" w:rsidR="00652176" w:rsidRDefault="00652176" w:rsidP="005031BF">
      <w:pPr>
        <w:spacing w:line="240" w:lineRule="auto"/>
        <w:jc w:val="center"/>
        <w:rPr>
          <w:rStyle w:val="Strong"/>
          <w:rFonts w:cstheme="minorHAnsi"/>
        </w:rPr>
      </w:pPr>
    </w:p>
    <w:p w14:paraId="71213C46" w14:textId="6263783D" w:rsidR="005031BF" w:rsidRPr="00984A4F" w:rsidRDefault="005031BF" w:rsidP="005031BF">
      <w:pPr>
        <w:spacing w:line="240" w:lineRule="auto"/>
        <w:jc w:val="center"/>
        <w:rPr>
          <w:noProof/>
          <w:color w:val="FFFFFF" w:themeColor="background1"/>
        </w:rPr>
      </w:pPr>
      <w:r w:rsidRPr="00984A4F">
        <w:rPr>
          <w:rStyle w:val="Strong"/>
          <w:rFonts w:cstheme="minorHAnsi"/>
        </w:rPr>
        <w:t>Get informed. Get motivated. Get talking. Get political.</w:t>
      </w:r>
      <w:r w:rsidRPr="00984A4F">
        <w:rPr>
          <w:noProof/>
          <w:color w:val="FFFFFF" w:themeColor="background1"/>
        </w:rPr>
        <w:t xml:space="preserve"> </w:t>
      </w:r>
    </w:p>
    <w:p w14:paraId="2312424B" w14:textId="77777777" w:rsidR="005031BF" w:rsidRPr="00984A4F" w:rsidRDefault="005031BF" w:rsidP="005031BF">
      <w:pPr>
        <w:spacing w:after="0" w:line="240" w:lineRule="auto"/>
        <w:jc w:val="center"/>
        <w:rPr>
          <w:i/>
          <w:sz w:val="18"/>
          <w:szCs w:val="18"/>
        </w:rPr>
      </w:pPr>
      <w:r w:rsidRPr="00984A4F">
        <w:rPr>
          <w:i/>
          <w:sz w:val="18"/>
          <w:szCs w:val="18"/>
        </w:rPr>
        <w:t xml:space="preserve">*The data in this article should not be considered generalizable to all medical laboratory professionals </w:t>
      </w:r>
    </w:p>
    <w:p w14:paraId="07B36167" w14:textId="03359848" w:rsidR="000237A9" w:rsidRDefault="005031BF" w:rsidP="002A3031">
      <w:pPr>
        <w:spacing w:line="240" w:lineRule="auto"/>
        <w:jc w:val="center"/>
      </w:pPr>
      <w:r w:rsidRPr="00984A4F">
        <w:rPr>
          <w:i/>
          <w:sz w:val="18"/>
          <w:szCs w:val="18"/>
        </w:rPr>
        <w:t xml:space="preserve">as it was collected as part of a CSMLS quality assurance project. </w:t>
      </w:r>
    </w:p>
    <w:sectPr w:rsidR="000237A9" w:rsidSect="00BC669F">
      <w:headerReference w:type="default" r:id="rId25"/>
      <w:footerReference w:type="default" r:id="rId26"/>
      <w:pgSz w:w="12240" w:h="15840"/>
      <w:pgMar w:top="2160" w:right="1080" w:bottom="720" w:left="1080" w:header="418" w:footer="9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6A0FA" w14:textId="77777777" w:rsidR="006761CA" w:rsidRDefault="006761CA" w:rsidP="00C9780F">
      <w:pPr>
        <w:spacing w:after="0" w:line="240" w:lineRule="auto"/>
      </w:pPr>
      <w:r>
        <w:separator/>
      </w:r>
    </w:p>
  </w:endnote>
  <w:endnote w:type="continuationSeparator" w:id="0">
    <w:p w14:paraId="3E854F6F" w14:textId="77777777" w:rsidR="006761CA" w:rsidRDefault="006761CA" w:rsidP="00C9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4940" w14:textId="77777777" w:rsidR="00BC669F" w:rsidRPr="00BC669F" w:rsidRDefault="00BC669F" w:rsidP="00BC669F">
    <w:pPr>
      <w:pStyle w:val="Footer"/>
    </w:pPr>
    <w:r>
      <w:rPr>
        <w:noProof/>
        <w:lang w:eastAsia="en-CA"/>
      </w:rPr>
      <mc:AlternateContent>
        <mc:Choice Requires="wps">
          <w:drawing>
            <wp:anchor distT="0" distB="0" distL="114300" distR="114300" simplePos="0" relativeHeight="251662336" behindDoc="1" locked="1" layoutInCell="1" allowOverlap="1" wp14:anchorId="45470910" wp14:editId="51337D02">
              <wp:simplePos x="0" y="0"/>
              <wp:positionH relativeFrom="margin">
                <wp:align>right</wp:align>
              </wp:positionH>
              <wp:positionV relativeFrom="page">
                <wp:posOffset>9537065</wp:posOffset>
              </wp:positionV>
              <wp:extent cx="1691640" cy="265176"/>
              <wp:effectExtent l="0" t="0" r="3810" b="1905"/>
              <wp:wrapNone/>
              <wp:docPr id="5" name="Text Box 5"/>
              <wp:cNvGraphicFramePr/>
              <a:graphic xmlns:a="http://schemas.openxmlformats.org/drawingml/2006/main">
                <a:graphicData uri="http://schemas.microsoft.com/office/word/2010/wordprocessingShape">
                  <wps:wsp>
                    <wps:cNvSpPr txBox="1"/>
                    <wps:spPr>
                      <a:xfrm>
                        <a:off x="0" y="0"/>
                        <a:ext cx="1691640" cy="2651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4F9988" w14:textId="77777777" w:rsidR="00BC669F" w:rsidRPr="007C56EF" w:rsidRDefault="00BC669F" w:rsidP="00BC669F">
                          <w:pPr>
                            <w:jc w:val="center"/>
                            <w:rPr>
                              <w:rFonts w:ascii="Century Gothic" w:hAnsi="Century Gothic"/>
                              <w:color w:val="595959" w:themeColor="text1" w:themeTint="A6"/>
                            </w:rPr>
                          </w:pPr>
                          <w:proofErr w:type="gramStart"/>
                          <w:r w:rsidRPr="007C56EF">
                            <w:rPr>
                              <w:rFonts w:ascii="Century Gothic" w:hAnsi="Century Gothic"/>
                              <w:color w:val="0070C0"/>
                            </w:rPr>
                            <w:t>csmls</w:t>
                          </w:r>
                          <w:r w:rsidRPr="007C56EF">
                            <w:rPr>
                              <w:rFonts w:ascii="Century Gothic" w:hAnsi="Century Gothic"/>
                              <w:color w:val="595959" w:themeColor="text1" w:themeTint="A6"/>
                            </w:rPr>
                            <w:t>.org</w:t>
                          </w:r>
                          <w:r w:rsidRPr="007C56EF">
                            <w:rPr>
                              <w:rFonts w:ascii="Century Gothic" w:hAnsi="Century Gothic"/>
                            </w:rPr>
                            <w:t xml:space="preserve"> </w:t>
                          </w:r>
                          <w:r>
                            <w:rPr>
                              <w:rFonts w:ascii="Century Gothic" w:hAnsi="Century Gothic"/>
                            </w:rPr>
                            <w:t xml:space="preserve"> </w:t>
                          </w:r>
                          <w:r w:rsidRPr="007C56EF">
                            <w:rPr>
                              <w:rFonts w:ascii="Century Gothic" w:hAnsi="Century Gothic"/>
                            </w:rPr>
                            <w:t>•</w:t>
                          </w:r>
                          <w:proofErr w:type="gramEnd"/>
                          <w:r w:rsidRPr="007C56EF">
                            <w:rPr>
                              <w:rFonts w:ascii="Century Gothic" w:hAnsi="Century Gothic"/>
                            </w:rPr>
                            <w:t xml:space="preserve"> </w:t>
                          </w:r>
                          <w:r>
                            <w:rPr>
                              <w:rFonts w:ascii="Century Gothic" w:hAnsi="Century Gothic"/>
                            </w:rPr>
                            <w:t xml:space="preserve"> </w:t>
                          </w:r>
                          <w:r w:rsidRPr="007C56EF">
                            <w:rPr>
                              <w:rFonts w:ascii="Century Gothic" w:hAnsi="Century Gothic"/>
                              <w:color w:val="0070C0"/>
                            </w:rPr>
                            <w:t>scslm</w:t>
                          </w:r>
                          <w:r w:rsidRPr="007C56EF">
                            <w:rPr>
                              <w:rFonts w:ascii="Century Gothic" w:hAnsi="Century Gothic"/>
                              <w:color w:val="595959" w:themeColor="text1" w:themeTint="A6"/>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70910" id="_x0000_t202" coordsize="21600,21600" o:spt="202" path="m,l,21600r21600,l21600,xe">
              <v:stroke joinstyle="miter"/>
              <v:path gradientshapeok="t" o:connecttype="rect"/>
            </v:shapetype>
            <v:shape id="Text Box 5" o:spid="_x0000_s1026" type="#_x0000_t202" style="position:absolute;margin-left:82pt;margin-top:750.95pt;width:133.2pt;height:20.9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" fillcolor="white [3201]" stroked="f" strokeweight=".5pt">
              <v:textbox>
                <w:txbxContent>
                  <w:p w14:paraId="3F4F9988" w14:textId="77777777" w:rsidR="00BC669F" w:rsidRPr="007C56EF" w:rsidRDefault="00BC669F" w:rsidP="00BC669F">
                    <w:pPr>
                      <w:jc w:val="center"/>
                      <w:rPr>
                        <w:rFonts w:ascii="Century Gothic" w:hAnsi="Century Gothic"/>
                        <w:color w:val="595959" w:themeColor="text1" w:themeTint="A6"/>
                      </w:rPr>
                    </w:pPr>
                    <w:proofErr w:type="gramStart"/>
                    <w:r w:rsidRPr="007C56EF">
                      <w:rPr>
                        <w:rFonts w:ascii="Century Gothic" w:hAnsi="Century Gothic"/>
                        <w:color w:val="0070C0"/>
                      </w:rPr>
                      <w:t>csmls</w:t>
                    </w:r>
                    <w:r w:rsidRPr="007C56EF">
                      <w:rPr>
                        <w:rFonts w:ascii="Century Gothic" w:hAnsi="Century Gothic"/>
                        <w:color w:val="595959" w:themeColor="text1" w:themeTint="A6"/>
                      </w:rPr>
                      <w:t>.org</w:t>
                    </w:r>
                    <w:r w:rsidRPr="007C56EF">
                      <w:rPr>
                        <w:rFonts w:ascii="Century Gothic" w:hAnsi="Century Gothic"/>
                      </w:rPr>
                      <w:t xml:space="preserve"> </w:t>
                    </w:r>
                    <w:r>
                      <w:rPr>
                        <w:rFonts w:ascii="Century Gothic" w:hAnsi="Century Gothic"/>
                      </w:rPr>
                      <w:t xml:space="preserve"> </w:t>
                    </w:r>
                    <w:r w:rsidRPr="007C56EF">
                      <w:rPr>
                        <w:rFonts w:ascii="Century Gothic" w:hAnsi="Century Gothic"/>
                      </w:rPr>
                      <w:t>•</w:t>
                    </w:r>
                    <w:proofErr w:type="gramEnd"/>
                    <w:r w:rsidRPr="007C56EF">
                      <w:rPr>
                        <w:rFonts w:ascii="Century Gothic" w:hAnsi="Century Gothic"/>
                      </w:rPr>
                      <w:t xml:space="preserve"> </w:t>
                    </w:r>
                    <w:r>
                      <w:rPr>
                        <w:rFonts w:ascii="Century Gothic" w:hAnsi="Century Gothic"/>
                      </w:rPr>
                      <w:t xml:space="preserve"> </w:t>
                    </w:r>
                    <w:r w:rsidRPr="007C56EF">
                      <w:rPr>
                        <w:rFonts w:ascii="Century Gothic" w:hAnsi="Century Gothic"/>
                        <w:color w:val="0070C0"/>
                      </w:rPr>
                      <w:t>scslm</w:t>
                    </w:r>
                    <w:r w:rsidRPr="007C56EF">
                      <w:rPr>
                        <w:rFonts w:ascii="Century Gothic" w:hAnsi="Century Gothic"/>
                        <w:color w:val="595959" w:themeColor="text1" w:themeTint="A6"/>
                      </w:rPr>
                      <w:t>.org</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04C12" w14:textId="77777777" w:rsidR="006761CA" w:rsidRDefault="006761CA" w:rsidP="00C9780F">
      <w:pPr>
        <w:spacing w:after="0" w:line="240" w:lineRule="auto"/>
      </w:pPr>
      <w:r>
        <w:separator/>
      </w:r>
    </w:p>
  </w:footnote>
  <w:footnote w:type="continuationSeparator" w:id="0">
    <w:p w14:paraId="05E7EC48" w14:textId="77777777" w:rsidR="006761CA" w:rsidRDefault="006761CA" w:rsidP="00C9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B27F" w14:textId="77777777" w:rsidR="00C9780F" w:rsidRDefault="00BC669F">
    <w:pPr>
      <w:pStyle w:val="Header"/>
    </w:pPr>
    <w:r>
      <w:rPr>
        <w:noProof/>
        <w:lang w:eastAsia="en-CA"/>
      </w:rPr>
      <w:drawing>
        <wp:anchor distT="0" distB="0" distL="114300" distR="114300" simplePos="0" relativeHeight="251660288" behindDoc="0" locked="1" layoutInCell="1" allowOverlap="1" wp14:anchorId="2EBF7FEC" wp14:editId="039B3D35">
          <wp:simplePos x="0" y="0"/>
          <wp:positionH relativeFrom="page">
            <wp:align>left</wp:align>
          </wp:positionH>
          <wp:positionV relativeFrom="page">
            <wp:align>bottom</wp:align>
          </wp:positionV>
          <wp:extent cx="3566160" cy="48554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Spot_template2.jpg"/>
                  <pic:cNvPicPr/>
                </pic:nvPicPr>
                <pic:blipFill rotWithShape="1">
                  <a:blip r:embed="rId1" cstate="print">
                    <a:extLst>
                      <a:ext uri="{28A0092B-C50C-407E-A947-70E740481C1C}">
                        <a14:useLocalDpi xmlns:a14="http://schemas.microsoft.com/office/drawing/2010/main" val="0"/>
                      </a:ext>
                    </a:extLst>
                  </a:blip>
                  <a:srcRect t="49355" r="51925"/>
                  <a:stretch/>
                </pic:blipFill>
                <pic:spPr bwMode="auto">
                  <a:xfrm>
                    <a:off x="0" y="0"/>
                    <a:ext cx="3566160" cy="48554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65F8">
      <w:rPr>
        <w:noProof/>
        <w:lang w:eastAsia="en-CA"/>
      </w:rPr>
      <w:drawing>
        <wp:anchor distT="0" distB="0" distL="114300" distR="114300" simplePos="0" relativeHeight="251658240" behindDoc="1" locked="1" layoutInCell="1" allowOverlap="1" wp14:anchorId="7587BDC4" wp14:editId="73880C26">
          <wp:simplePos x="0" y="0"/>
          <wp:positionH relativeFrom="page">
            <wp:align>left</wp:align>
          </wp:positionH>
          <wp:positionV relativeFrom="page">
            <wp:align>top</wp:align>
          </wp:positionV>
          <wp:extent cx="7333488" cy="1216152"/>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Spot_template.jpg"/>
                  <pic:cNvPicPr/>
                </pic:nvPicPr>
                <pic:blipFill rotWithShape="1">
                  <a:blip r:embed="rId2">
                    <a:extLst>
                      <a:ext uri="{28A0092B-C50C-407E-A947-70E740481C1C}">
                        <a14:useLocalDpi xmlns:a14="http://schemas.microsoft.com/office/drawing/2010/main" val="0"/>
                      </a:ext>
                    </a:extLst>
                  </a:blip>
                  <a:srcRect b="87184"/>
                  <a:stretch/>
                </pic:blipFill>
                <pic:spPr bwMode="auto">
                  <a:xfrm>
                    <a:off x="0" y="0"/>
                    <a:ext cx="7333488" cy="12161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5614"/>
    <w:multiLevelType w:val="hybridMultilevel"/>
    <w:tmpl w:val="280A8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0E783A"/>
    <w:multiLevelType w:val="hybridMultilevel"/>
    <w:tmpl w:val="1F2C5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DB13BE"/>
    <w:multiLevelType w:val="hybridMultilevel"/>
    <w:tmpl w:val="46164CD6"/>
    <w:lvl w:ilvl="0" w:tplc="97A888DE">
      <w:start w:val="1"/>
      <w:numFmt w:val="bullet"/>
      <w:lvlText w:val="-"/>
      <w:lvlJc w:val="left"/>
      <w:pPr>
        <w:ind w:left="720" w:hanging="360"/>
      </w:pPr>
      <w:rPr>
        <w:rFonts w:ascii="Rockwell" w:eastAsiaTheme="minorHAnsi" w:hAnsi="Rockwell"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05140B"/>
    <w:multiLevelType w:val="hybridMultilevel"/>
    <w:tmpl w:val="235CC9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68534B"/>
    <w:multiLevelType w:val="hybridMultilevel"/>
    <w:tmpl w:val="6430F0A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79C4A44"/>
    <w:multiLevelType w:val="hybridMultilevel"/>
    <w:tmpl w:val="C0B6B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CE71FE"/>
    <w:multiLevelType w:val="hybridMultilevel"/>
    <w:tmpl w:val="FA5AFC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176EE1"/>
    <w:multiLevelType w:val="hybridMultilevel"/>
    <w:tmpl w:val="0EBC9554"/>
    <w:lvl w:ilvl="0" w:tplc="97A888DE">
      <w:start w:val="1"/>
      <w:numFmt w:val="bullet"/>
      <w:lvlText w:val="-"/>
      <w:lvlJc w:val="left"/>
      <w:pPr>
        <w:ind w:left="720" w:hanging="360"/>
      </w:pPr>
      <w:rPr>
        <w:rFonts w:ascii="Rockwell" w:eastAsiaTheme="minorHAnsi" w:hAnsi="Rockwell"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B12096"/>
    <w:multiLevelType w:val="hybridMultilevel"/>
    <w:tmpl w:val="AA6215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F26C27"/>
    <w:multiLevelType w:val="hybridMultilevel"/>
    <w:tmpl w:val="DD905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8E0ED7"/>
    <w:multiLevelType w:val="hybridMultilevel"/>
    <w:tmpl w:val="086E9EF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EC79CE"/>
    <w:multiLevelType w:val="hybridMultilevel"/>
    <w:tmpl w:val="4D6A3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0F57C8"/>
    <w:multiLevelType w:val="hybridMultilevel"/>
    <w:tmpl w:val="AF106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D44F38"/>
    <w:multiLevelType w:val="hybridMultilevel"/>
    <w:tmpl w:val="72083F6E"/>
    <w:lvl w:ilvl="0" w:tplc="F080FC94">
      <w:start w:val="14"/>
      <w:numFmt w:val="bullet"/>
      <w:lvlText w:val="•"/>
      <w:lvlJc w:val="left"/>
      <w:pPr>
        <w:ind w:left="1080" w:hanging="720"/>
      </w:pPr>
      <w:rPr>
        <w:rFonts w:ascii="Rockwell" w:eastAsiaTheme="minorHAnsi" w:hAnsi="Rockwel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635A83"/>
    <w:multiLevelType w:val="hybridMultilevel"/>
    <w:tmpl w:val="18F02D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0355A4"/>
    <w:multiLevelType w:val="hybridMultilevel"/>
    <w:tmpl w:val="A672F6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F8512B"/>
    <w:multiLevelType w:val="hybridMultilevel"/>
    <w:tmpl w:val="452C3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B17152"/>
    <w:multiLevelType w:val="hybridMultilevel"/>
    <w:tmpl w:val="647A2F5A"/>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9739C3"/>
    <w:multiLevelType w:val="hybridMultilevel"/>
    <w:tmpl w:val="50CC1B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27E46DB"/>
    <w:multiLevelType w:val="hybridMultilevel"/>
    <w:tmpl w:val="13EE15B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9C68C1"/>
    <w:multiLevelType w:val="hybridMultilevel"/>
    <w:tmpl w:val="056A0BF8"/>
    <w:lvl w:ilvl="0" w:tplc="1009000B">
      <w:start w:val="1"/>
      <w:numFmt w:val="bullet"/>
      <w:lvlText w:val=""/>
      <w:lvlJc w:val="left"/>
      <w:pPr>
        <w:ind w:left="720" w:hanging="360"/>
      </w:pPr>
      <w:rPr>
        <w:rFonts w:ascii="Wingdings" w:hAnsi="Wingding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B7539A"/>
    <w:multiLevelType w:val="hybridMultilevel"/>
    <w:tmpl w:val="DCAE8DCE"/>
    <w:lvl w:ilvl="0" w:tplc="E44850D8">
      <w:numFmt w:val="bullet"/>
      <w:lvlText w:val="-"/>
      <w:lvlJc w:val="left"/>
      <w:pPr>
        <w:ind w:left="1080" w:hanging="720"/>
      </w:pPr>
      <w:rPr>
        <w:rFonts w:ascii="Rockwell" w:eastAsiaTheme="minorHAnsi" w:hAnsi="Rockwel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C843D6"/>
    <w:multiLevelType w:val="hybridMultilevel"/>
    <w:tmpl w:val="47F6F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3553B9"/>
    <w:multiLevelType w:val="hybridMultilevel"/>
    <w:tmpl w:val="FFB45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21058D"/>
    <w:multiLevelType w:val="hybridMultilevel"/>
    <w:tmpl w:val="248802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0"/>
  </w:num>
  <w:num w:numId="4">
    <w:abstractNumId w:val="11"/>
  </w:num>
  <w:num w:numId="5">
    <w:abstractNumId w:val="13"/>
  </w:num>
  <w:num w:numId="6">
    <w:abstractNumId w:val="4"/>
  </w:num>
  <w:num w:numId="7">
    <w:abstractNumId w:val="22"/>
  </w:num>
  <w:num w:numId="8">
    <w:abstractNumId w:val="9"/>
  </w:num>
  <w:num w:numId="9">
    <w:abstractNumId w:val="7"/>
  </w:num>
  <w:num w:numId="10">
    <w:abstractNumId w:val="2"/>
  </w:num>
  <w:num w:numId="11">
    <w:abstractNumId w:val="20"/>
  </w:num>
  <w:num w:numId="12">
    <w:abstractNumId w:val="1"/>
  </w:num>
  <w:num w:numId="13">
    <w:abstractNumId w:val="19"/>
  </w:num>
  <w:num w:numId="14">
    <w:abstractNumId w:val="18"/>
  </w:num>
  <w:num w:numId="15">
    <w:abstractNumId w:val="14"/>
  </w:num>
  <w:num w:numId="16">
    <w:abstractNumId w:val="10"/>
  </w:num>
  <w:num w:numId="17">
    <w:abstractNumId w:val="12"/>
  </w:num>
  <w:num w:numId="18">
    <w:abstractNumId w:val="5"/>
  </w:num>
  <w:num w:numId="19">
    <w:abstractNumId w:val="15"/>
  </w:num>
  <w:num w:numId="20">
    <w:abstractNumId w:val="24"/>
  </w:num>
  <w:num w:numId="21">
    <w:abstractNumId w:val="3"/>
  </w:num>
  <w:num w:numId="22">
    <w:abstractNumId w:val="8"/>
  </w:num>
  <w:num w:numId="23">
    <w:abstractNumId w:val="21"/>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U0NTQwNDM0N7WwNDJW0lEKTi0uzszPAymwrAUALkLq9iwAAAA="/>
  </w:docVars>
  <w:rsids>
    <w:rsidRoot w:val="00C9780F"/>
    <w:rsid w:val="00022F1D"/>
    <w:rsid w:val="000237A9"/>
    <w:rsid w:val="000434D3"/>
    <w:rsid w:val="00057D9C"/>
    <w:rsid w:val="00060A3D"/>
    <w:rsid w:val="00063140"/>
    <w:rsid w:val="00086754"/>
    <w:rsid w:val="00092603"/>
    <w:rsid w:val="000A4C4E"/>
    <w:rsid w:val="000A76CC"/>
    <w:rsid w:val="000D7997"/>
    <w:rsid w:val="000E0767"/>
    <w:rsid w:val="00125620"/>
    <w:rsid w:val="00155701"/>
    <w:rsid w:val="00160B20"/>
    <w:rsid w:val="001B213F"/>
    <w:rsid w:val="001C7C21"/>
    <w:rsid w:val="001C7FD8"/>
    <w:rsid w:val="001D092D"/>
    <w:rsid w:val="001D64E3"/>
    <w:rsid w:val="001E3F28"/>
    <w:rsid w:val="001F277A"/>
    <w:rsid w:val="00205BC3"/>
    <w:rsid w:val="002109AD"/>
    <w:rsid w:val="00211A77"/>
    <w:rsid w:val="00217A05"/>
    <w:rsid w:val="00266FF4"/>
    <w:rsid w:val="0027304E"/>
    <w:rsid w:val="002A3031"/>
    <w:rsid w:val="002A5BEF"/>
    <w:rsid w:val="002C65F8"/>
    <w:rsid w:val="002D53CA"/>
    <w:rsid w:val="00305BA2"/>
    <w:rsid w:val="00313B78"/>
    <w:rsid w:val="00341A33"/>
    <w:rsid w:val="00375A37"/>
    <w:rsid w:val="00375DB0"/>
    <w:rsid w:val="0039197E"/>
    <w:rsid w:val="003B11DA"/>
    <w:rsid w:val="003B24FD"/>
    <w:rsid w:val="003C1E8D"/>
    <w:rsid w:val="003C24C2"/>
    <w:rsid w:val="003E4735"/>
    <w:rsid w:val="003E6B06"/>
    <w:rsid w:val="00405263"/>
    <w:rsid w:val="004334E9"/>
    <w:rsid w:val="00453239"/>
    <w:rsid w:val="00464456"/>
    <w:rsid w:val="004A257E"/>
    <w:rsid w:val="004A6016"/>
    <w:rsid w:val="004D38E9"/>
    <w:rsid w:val="004E5C92"/>
    <w:rsid w:val="004E7EA3"/>
    <w:rsid w:val="005031BF"/>
    <w:rsid w:val="005235CB"/>
    <w:rsid w:val="0052687E"/>
    <w:rsid w:val="005424B5"/>
    <w:rsid w:val="00552FE5"/>
    <w:rsid w:val="00587CD0"/>
    <w:rsid w:val="00590AE0"/>
    <w:rsid w:val="005C2692"/>
    <w:rsid w:val="005E622B"/>
    <w:rsid w:val="0063262D"/>
    <w:rsid w:val="00637A75"/>
    <w:rsid w:val="00652176"/>
    <w:rsid w:val="006761CA"/>
    <w:rsid w:val="006C7930"/>
    <w:rsid w:val="006D149A"/>
    <w:rsid w:val="006E6B23"/>
    <w:rsid w:val="00704550"/>
    <w:rsid w:val="00755DA9"/>
    <w:rsid w:val="007720E7"/>
    <w:rsid w:val="00787B01"/>
    <w:rsid w:val="00793621"/>
    <w:rsid w:val="007D1F0C"/>
    <w:rsid w:val="007D67C8"/>
    <w:rsid w:val="007E2D22"/>
    <w:rsid w:val="008415E2"/>
    <w:rsid w:val="0085324B"/>
    <w:rsid w:val="008A0D91"/>
    <w:rsid w:val="008C6F9E"/>
    <w:rsid w:val="008F27D3"/>
    <w:rsid w:val="008F3593"/>
    <w:rsid w:val="00902C90"/>
    <w:rsid w:val="00902E89"/>
    <w:rsid w:val="00914A5B"/>
    <w:rsid w:val="009833A4"/>
    <w:rsid w:val="00984A4F"/>
    <w:rsid w:val="009C093E"/>
    <w:rsid w:val="009D7095"/>
    <w:rsid w:val="00A110C5"/>
    <w:rsid w:val="00A50ECF"/>
    <w:rsid w:val="00AF7609"/>
    <w:rsid w:val="00B06C8F"/>
    <w:rsid w:val="00B53E9F"/>
    <w:rsid w:val="00BA35AF"/>
    <w:rsid w:val="00BC4605"/>
    <w:rsid w:val="00BC669F"/>
    <w:rsid w:val="00BD0669"/>
    <w:rsid w:val="00BE5FD4"/>
    <w:rsid w:val="00C005B2"/>
    <w:rsid w:val="00C431B6"/>
    <w:rsid w:val="00C44BB8"/>
    <w:rsid w:val="00C85C06"/>
    <w:rsid w:val="00C95C38"/>
    <w:rsid w:val="00C9780F"/>
    <w:rsid w:val="00CC082F"/>
    <w:rsid w:val="00CC6B2E"/>
    <w:rsid w:val="00CD2EE1"/>
    <w:rsid w:val="00CD6C01"/>
    <w:rsid w:val="00CE6B68"/>
    <w:rsid w:val="00D129D8"/>
    <w:rsid w:val="00D62D46"/>
    <w:rsid w:val="00E51C88"/>
    <w:rsid w:val="00E54298"/>
    <w:rsid w:val="00EB1027"/>
    <w:rsid w:val="00EC7CF2"/>
    <w:rsid w:val="00F156AE"/>
    <w:rsid w:val="00F2777F"/>
    <w:rsid w:val="00F40ACF"/>
    <w:rsid w:val="00F44926"/>
    <w:rsid w:val="00F82B76"/>
    <w:rsid w:val="00F8624B"/>
    <w:rsid w:val="00FE05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17EE6"/>
  <w15:docId w15:val="{984A6788-E783-4DC9-88C8-0A2A53D1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A4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5C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C97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0F"/>
    <w:rPr>
      <w:rFonts w:ascii="Tahoma" w:hAnsi="Tahoma" w:cs="Tahoma"/>
      <w:sz w:val="16"/>
      <w:szCs w:val="16"/>
    </w:rPr>
  </w:style>
  <w:style w:type="paragraph" w:styleId="Header">
    <w:name w:val="header"/>
    <w:basedOn w:val="Normal"/>
    <w:link w:val="HeaderChar"/>
    <w:uiPriority w:val="99"/>
    <w:unhideWhenUsed/>
    <w:rsid w:val="00C9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80F"/>
  </w:style>
  <w:style w:type="paragraph" w:styleId="Footer">
    <w:name w:val="footer"/>
    <w:basedOn w:val="Normal"/>
    <w:link w:val="FooterChar"/>
    <w:uiPriority w:val="99"/>
    <w:unhideWhenUsed/>
    <w:rsid w:val="00C9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80F"/>
  </w:style>
  <w:style w:type="character" w:customStyle="1" w:styleId="Heading1Char">
    <w:name w:val="Heading 1 Char"/>
    <w:basedOn w:val="DefaultParagraphFont"/>
    <w:link w:val="Heading1"/>
    <w:uiPriority w:val="9"/>
    <w:rsid w:val="00984A4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984A4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A4F"/>
    <w:rPr>
      <w:color w:val="0000FF"/>
      <w:u w:val="single"/>
    </w:rPr>
  </w:style>
  <w:style w:type="paragraph" w:styleId="ListParagraph">
    <w:name w:val="List Paragraph"/>
    <w:basedOn w:val="Normal"/>
    <w:uiPriority w:val="34"/>
    <w:qFormat/>
    <w:rsid w:val="00984A4F"/>
    <w:pPr>
      <w:spacing w:after="160" w:line="259" w:lineRule="auto"/>
      <w:ind w:left="720"/>
      <w:contextualSpacing/>
    </w:pPr>
    <w:rPr>
      <w:rFonts w:asciiTheme="minorHAnsi" w:hAnsiTheme="minorHAnsi"/>
    </w:rPr>
  </w:style>
  <w:style w:type="character" w:styleId="Strong">
    <w:name w:val="Strong"/>
    <w:basedOn w:val="DefaultParagraphFont"/>
    <w:uiPriority w:val="22"/>
    <w:qFormat/>
    <w:rsid w:val="00984A4F"/>
    <w:rPr>
      <w:b/>
      <w:bCs/>
    </w:rPr>
  </w:style>
  <w:style w:type="character" w:styleId="FollowedHyperlink">
    <w:name w:val="FollowedHyperlink"/>
    <w:basedOn w:val="DefaultParagraphFont"/>
    <w:uiPriority w:val="99"/>
    <w:semiHidden/>
    <w:unhideWhenUsed/>
    <w:rsid w:val="00984A4F"/>
    <w:rPr>
      <w:color w:val="800080" w:themeColor="followedHyperlink"/>
      <w:u w:val="single"/>
    </w:rPr>
  </w:style>
  <w:style w:type="character" w:customStyle="1" w:styleId="UnresolvedMention1">
    <w:name w:val="Unresolved Mention1"/>
    <w:basedOn w:val="DefaultParagraphFont"/>
    <w:uiPriority w:val="99"/>
    <w:semiHidden/>
    <w:unhideWhenUsed/>
    <w:rsid w:val="008A0D91"/>
    <w:rPr>
      <w:color w:val="605E5C"/>
      <w:shd w:val="clear" w:color="auto" w:fill="E1DFDD"/>
    </w:rPr>
  </w:style>
  <w:style w:type="paragraph" w:styleId="NormalWeb">
    <w:name w:val="Normal (Web)"/>
    <w:basedOn w:val="Normal"/>
    <w:uiPriority w:val="99"/>
    <w:semiHidden/>
    <w:unhideWhenUsed/>
    <w:rsid w:val="008A0D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C093E"/>
    <w:rPr>
      <w:i/>
      <w:iCs/>
    </w:rPr>
  </w:style>
  <w:style w:type="character" w:styleId="CommentReference">
    <w:name w:val="annotation reference"/>
    <w:basedOn w:val="DefaultParagraphFont"/>
    <w:uiPriority w:val="99"/>
    <w:semiHidden/>
    <w:unhideWhenUsed/>
    <w:rsid w:val="00902E89"/>
    <w:rPr>
      <w:sz w:val="16"/>
      <w:szCs w:val="16"/>
    </w:rPr>
  </w:style>
  <w:style w:type="paragraph" w:styleId="CommentText">
    <w:name w:val="annotation text"/>
    <w:basedOn w:val="Normal"/>
    <w:link w:val="CommentTextChar"/>
    <w:uiPriority w:val="99"/>
    <w:semiHidden/>
    <w:unhideWhenUsed/>
    <w:rsid w:val="00902E89"/>
    <w:pPr>
      <w:spacing w:line="240" w:lineRule="auto"/>
    </w:pPr>
    <w:rPr>
      <w:sz w:val="20"/>
      <w:szCs w:val="20"/>
    </w:rPr>
  </w:style>
  <w:style w:type="character" w:customStyle="1" w:styleId="CommentTextChar">
    <w:name w:val="Comment Text Char"/>
    <w:basedOn w:val="DefaultParagraphFont"/>
    <w:link w:val="CommentText"/>
    <w:uiPriority w:val="99"/>
    <w:semiHidden/>
    <w:rsid w:val="00902E89"/>
    <w:rPr>
      <w:sz w:val="20"/>
      <w:szCs w:val="20"/>
    </w:rPr>
  </w:style>
  <w:style w:type="paragraph" w:styleId="CommentSubject">
    <w:name w:val="annotation subject"/>
    <w:basedOn w:val="CommentText"/>
    <w:next w:val="CommentText"/>
    <w:link w:val="CommentSubjectChar"/>
    <w:uiPriority w:val="99"/>
    <w:semiHidden/>
    <w:unhideWhenUsed/>
    <w:rsid w:val="00902E89"/>
    <w:rPr>
      <w:b/>
      <w:bCs/>
    </w:rPr>
  </w:style>
  <w:style w:type="character" w:customStyle="1" w:styleId="CommentSubjectChar">
    <w:name w:val="Comment Subject Char"/>
    <w:basedOn w:val="CommentTextChar"/>
    <w:link w:val="CommentSubject"/>
    <w:uiPriority w:val="99"/>
    <w:semiHidden/>
    <w:rsid w:val="00902E89"/>
    <w:rPr>
      <w:b/>
      <w:bCs/>
      <w:sz w:val="20"/>
      <w:szCs w:val="20"/>
    </w:rPr>
  </w:style>
  <w:style w:type="paragraph" w:styleId="FootnoteText">
    <w:name w:val="footnote text"/>
    <w:basedOn w:val="Normal"/>
    <w:link w:val="FootnoteTextChar"/>
    <w:uiPriority w:val="99"/>
    <w:semiHidden/>
    <w:unhideWhenUsed/>
    <w:rsid w:val="006521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176"/>
    <w:rPr>
      <w:sz w:val="20"/>
      <w:szCs w:val="20"/>
    </w:rPr>
  </w:style>
  <w:style w:type="character" w:styleId="FootnoteReference">
    <w:name w:val="footnote reference"/>
    <w:basedOn w:val="DefaultParagraphFont"/>
    <w:uiPriority w:val="99"/>
    <w:semiHidden/>
    <w:unhideWhenUsed/>
    <w:rsid w:val="00652176"/>
    <w:rPr>
      <w:vertAlign w:val="superscript"/>
    </w:rPr>
  </w:style>
  <w:style w:type="character" w:customStyle="1" w:styleId="wb-inv">
    <w:name w:val="wb-inv"/>
    <w:basedOn w:val="DefaultParagraphFont"/>
    <w:rsid w:val="008F27D3"/>
  </w:style>
  <w:style w:type="character" w:customStyle="1" w:styleId="Heading2Char">
    <w:name w:val="Heading 2 Char"/>
    <w:basedOn w:val="DefaultParagraphFont"/>
    <w:link w:val="Heading2"/>
    <w:uiPriority w:val="9"/>
    <w:semiHidden/>
    <w:rsid w:val="00C85C06"/>
    <w:rPr>
      <w:rFonts w:asciiTheme="majorHAnsi" w:eastAsiaTheme="majorEastAsia" w:hAnsiTheme="majorHAnsi" w:cstheme="majorBidi"/>
      <w:color w:val="365F91" w:themeColor="accent1" w:themeShade="BF"/>
      <w:sz w:val="26"/>
      <w:szCs w:val="26"/>
    </w:rPr>
  </w:style>
  <w:style w:type="character" w:customStyle="1" w:styleId="title-text">
    <w:name w:val="title-text"/>
    <w:basedOn w:val="DefaultParagraphFont"/>
    <w:rsid w:val="000237A9"/>
  </w:style>
  <w:style w:type="paragraph" w:styleId="EndnoteText">
    <w:name w:val="endnote text"/>
    <w:basedOn w:val="Normal"/>
    <w:link w:val="EndnoteTextChar"/>
    <w:uiPriority w:val="99"/>
    <w:semiHidden/>
    <w:unhideWhenUsed/>
    <w:rsid w:val="000237A9"/>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0237A9"/>
    <w:rPr>
      <w:rFonts w:asciiTheme="minorHAnsi" w:hAnsiTheme="minorHAnsi"/>
      <w:sz w:val="20"/>
      <w:szCs w:val="20"/>
    </w:rPr>
  </w:style>
  <w:style w:type="character" w:styleId="EndnoteReference">
    <w:name w:val="endnote reference"/>
    <w:basedOn w:val="DefaultParagraphFont"/>
    <w:uiPriority w:val="99"/>
    <w:semiHidden/>
    <w:unhideWhenUsed/>
    <w:rsid w:val="000237A9"/>
    <w:rPr>
      <w:vertAlign w:val="superscript"/>
    </w:rPr>
  </w:style>
  <w:style w:type="paragraph" w:styleId="Revision">
    <w:name w:val="Revision"/>
    <w:hidden/>
    <w:uiPriority w:val="99"/>
    <w:semiHidden/>
    <w:rsid w:val="003E4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652">
      <w:bodyDiv w:val="1"/>
      <w:marLeft w:val="0"/>
      <w:marRight w:val="0"/>
      <w:marTop w:val="0"/>
      <w:marBottom w:val="0"/>
      <w:divBdr>
        <w:top w:val="none" w:sz="0" w:space="0" w:color="auto"/>
        <w:left w:val="none" w:sz="0" w:space="0" w:color="auto"/>
        <w:bottom w:val="none" w:sz="0" w:space="0" w:color="auto"/>
        <w:right w:val="none" w:sz="0" w:space="0" w:color="auto"/>
      </w:divBdr>
    </w:div>
    <w:div w:id="1165046780">
      <w:bodyDiv w:val="1"/>
      <w:marLeft w:val="0"/>
      <w:marRight w:val="0"/>
      <w:marTop w:val="0"/>
      <w:marBottom w:val="0"/>
      <w:divBdr>
        <w:top w:val="none" w:sz="0" w:space="0" w:color="auto"/>
        <w:left w:val="none" w:sz="0" w:space="0" w:color="auto"/>
        <w:bottom w:val="none" w:sz="0" w:space="0" w:color="auto"/>
        <w:right w:val="none" w:sz="0" w:space="0" w:color="auto"/>
      </w:divBdr>
    </w:div>
    <w:div w:id="1248344013">
      <w:bodyDiv w:val="1"/>
      <w:marLeft w:val="0"/>
      <w:marRight w:val="0"/>
      <w:marTop w:val="0"/>
      <w:marBottom w:val="0"/>
      <w:divBdr>
        <w:top w:val="none" w:sz="0" w:space="0" w:color="auto"/>
        <w:left w:val="none" w:sz="0" w:space="0" w:color="auto"/>
        <w:bottom w:val="none" w:sz="0" w:space="0" w:color="auto"/>
        <w:right w:val="none" w:sz="0" w:space="0" w:color="auto"/>
      </w:divBdr>
    </w:div>
    <w:div w:id="1396275188">
      <w:bodyDiv w:val="1"/>
      <w:marLeft w:val="0"/>
      <w:marRight w:val="0"/>
      <w:marTop w:val="0"/>
      <w:marBottom w:val="0"/>
      <w:divBdr>
        <w:top w:val="none" w:sz="0" w:space="0" w:color="auto"/>
        <w:left w:val="none" w:sz="0" w:space="0" w:color="auto"/>
        <w:bottom w:val="none" w:sz="0" w:space="0" w:color="auto"/>
        <w:right w:val="none" w:sz="0" w:space="0" w:color="auto"/>
      </w:divBdr>
    </w:div>
    <w:div w:id="1460681714">
      <w:bodyDiv w:val="1"/>
      <w:marLeft w:val="0"/>
      <w:marRight w:val="0"/>
      <w:marTop w:val="0"/>
      <w:marBottom w:val="0"/>
      <w:divBdr>
        <w:top w:val="none" w:sz="0" w:space="0" w:color="auto"/>
        <w:left w:val="none" w:sz="0" w:space="0" w:color="auto"/>
        <w:bottom w:val="none" w:sz="0" w:space="0" w:color="auto"/>
        <w:right w:val="none" w:sz="0" w:space="0" w:color="auto"/>
      </w:divBdr>
    </w:div>
    <w:div w:id="18660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publications/health-system-services/report-advisory-panel-healthcare-innovation.html" TargetMode="External"/><Relationship Id="rId13" Type="http://schemas.openxmlformats.org/officeDocument/2006/relationships/hyperlink" Target="https://www.infoway-inforoute.ca/en/solutions/digital-health-foundation/electronic-health-records/laboratory-information-systems" TargetMode="External"/><Relationship Id="rId18" Type="http://schemas.openxmlformats.org/officeDocument/2006/relationships/hyperlink" Target="https://www.cihi.ca/en/unnecessary-care-in-canada-infographi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dfs.semanticscholar.org/18a1/5c2f4439d4cde227a7253c9d32d9f3443517.pdf" TargetMode="External"/><Relationship Id="rId7" Type="http://schemas.openxmlformats.org/officeDocument/2006/relationships/endnotes" Target="endnotes.xml"/><Relationship Id="rId12" Type="http://schemas.openxmlformats.org/officeDocument/2006/relationships/hyperlink" Target="https://www.infoway-inforoute.ca/en/solutions/digital-health-foundation/electronic-medical-records" TargetMode="External"/><Relationship Id="rId17" Type="http://schemas.openxmlformats.org/officeDocument/2006/relationships/hyperlink" Target="https://choosingwiselycanada.org/perspectiv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hoosingwiselycanada.org/recommendations/" TargetMode="External"/><Relationship Id="rId20" Type="http://schemas.openxmlformats.org/officeDocument/2006/relationships/hyperlink" Target="https://www.cdhowe.org/sites/default/files/attachments/research_papers/mixed/Commentary_533%20final%20updat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tp.cdc.gov/pub/CLIAC_meeting_presentations/pdf/Addenda/cliac0906/AddendumO.pdf" TargetMode="External"/><Relationship Id="rId24" Type="http://schemas.openxmlformats.org/officeDocument/2006/relationships/hyperlink" Target="https://www.mlo-online.com/information-technology/lis/article/13008886/reclaiming-the-clinical-conversation-a-challenge-for-the-laboratory" TargetMode="External"/><Relationship Id="rId5" Type="http://schemas.openxmlformats.org/officeDocument/2006/relationships/webSettings" Target="webSettings.xml"/><Relationship Id="rId15" Type="http://schemas.openxmlformats.org/officeDocument/2006/relationships/hyperlink" Target="https://www.washingtonpost.com/news/posteverything/wp/2018/10/05/feature/doctors-are-surprisingly-bad-at-reading-lab-results-its-putting-us-all-at-risk/?utm_term=.61369df5afe1" TargetMode="External"/><Relationship Id="rId23" Type="http://schemas.openxmlformats.org/officeDocument/2006/relationships/hyperlink" Target="https://www.clinicallabmanager.com/business/the-hidden-value-in-the-clinical-lab-117" TargetMode="External"/><Relationship Id="rId28" Type="http://schemas.openxmlformats.org/officeDocument/2006/relationships/theme" Target="theme/theme1.xml"/><Relationship Id="rId10" Type="http://schemas.openxmlformats.org/officeDocument/2006/relationships/hyperlink" Target="https://healthcare-in-europe.com/en/news/laboratory-medicine-is-an-interdisciplinary-subject.html" TargetMode="External"/><Relationship Id="rId19" Type="http://schemas.openxmlformats.org/officeDocument/2006/relationships/hyperlink" Target="https://www.ncbi.nlm.nih.gov/pubmed/24084502" TargetMode="External"/><Relationship Id="rId4" Type="http://schemas.openxmlformats.org/officeDocument/2006/relationships/settings" Target="settings.xml"/><Relationship Id="rId9" Type="http://schemas.openxmlformats.org/officeDocument/2006/relationships/hyperlink" Target="https://csmls.org/About-Us/Our-Members/Code-of-Ethics.aspx" TargetMode="External"/><Relationship Id="rId14" Type="http://schemas.openxmlformats.org/officeDocument/2006/relationships/hyperlink" Target="https://journalofethics.ama-assn.org/article/ethical-considerations-about-ehr-mediated-results-disclosure-and-pathology-information-presented/2016-08" TargetMode="External"/><Relationship Id="rId22" Type="http://schemas.openxmlformats.org/officeDocument/2006/relationships/hyperlink" Target="https://www.ncbi.nlm.nih.gov/pubmed/2643656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3F10-E6A4-4586-ACC9-16681B86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Laura Zychla</cp:lastModifiedBy>
  <cp:revision>3</cp:revision>
  <cp:lastPrinted>2019-05-02T17:58:00Z</cp:lastPrinted>
  <dcterms:created xsi:type="dcterms:W3CDTF">2019-05-13T12:59:00Z</dcterms:created>
  <dcterms:modified xsi:type="dcterms:W3CDTF">2019-05-22T18:21:00Z</dcterms:modified>
</cp:coreProperties>
</file>