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F8" w:rsidRDefault="008A34F8" w:rsidP="008A34F8">
      <w:pPr>
        <w:pStyle w:val="BodyText"/>
        <w:jc w:val="center"/>
        <w:rPr>
          <w:rFonts w:ascii="Century Gothic"/>
          <w:color w:val="0077AD"/>
          <w:sz w:val="32"/>
        </w:rPr>
      </w:pPr>
      <w:r>
        <w:rPr>
          <w:noProof/>
        </w:rPr>
        <w:drawing>
          <wp:inline distT="0" distB="0" distL="0" distR="0" wp14:anchorId="22C3FBA6" wp14:editId="5399C9BF">
            <wp:extent cx="2421467" cy="8717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21467" cy="871727"/>
                    </a:xfrm>
                    <a:prstGeom prst="rect">
                      <a:avLst/>
                    </a:prstGeom>
                  </pic:spPr>
                </pic:pic>
              </a:graphicData>
            </a:graphic>
          </wp:inline>
        </w:drawing>
      </w:r>
    </w:p>
    <w:p w:rsidR="008A34F8" w:rsidRDefault="008A34F8" w:rsidP="008A34F8">
      <w:pPr>
        <w:pStyle w:val="BodyText"/>
        <w:jc w:val="center"/>
        <w:rPr>
          <w:rFonts w:ascii="Century Gothic"/>
          <w:color w:val="0077AD"/>
          <w:sz w:val="32"/>
        </w:rPr>
      </w:pPr>
      <w:r>
        <w:rPr>
          <w:rFonts w:ascii="Century Gothic"/>
          <w:color w:val="0077AD"/>
          <w:sz w:val="32"/>
        </w:rPr>
        <w:t xml:space="preserve">Travel &amp; Accommodation </w:t>
      </w:r>
      <w:r w:rsidR="00BD4CC9">
        <w:rPr>
          <w:rFonts w:ascii="Century Gothic"/>
          <w:color w:val="0077AD"/>
          <w:sz w:val="32"/>
        </w:rPr>
        <w:t>Polic</w:t>
      </w:r>
      <w:r w:rsidR="00FB26A3">
        <w:rPr>
          <w:rFonts w:ascii="Century Gothic"/>
          <w:color w:val="0077AD"/>
          <w:sz w:val="32"/>
        </w:rPr>
        <w:t>y</w:t>
      </w:r>
    </w:p>
    <w:p w:rsidR="00BD4CC9" w:rsidRPr="00683358" w:rsidRDefault="00BD4CC9" w:rsidP="00BD4CC9">
      <w:pPr>
        <w:pStyle w:val="Heading2"/>
        <w:jc w:val="center"/>
      </w:pPr>
      <w:bookmarkStart w:id="0" w:name="_Hlk524696292"/>
      <w:r w:rsidRPr="00683358">
        <w:t xml:space="preserve">Uniting Simulation </w:t>
      </w:r>
      <w:r>
        <w:t>Education (</w:t>
      </w:r>
      <w:r w:rsidRPr="00683358">
        <w:t>One-Day Event</w:t>
      </w:r>
      <w:r>
        <w:t>)</w:t>
      </w:r>
    </w:p>
    <w:bookmarkEnd w:id="0"/>
    <w:p w:rsidR="008A34F8" w:rsidRPr="008A34F8" w:rsidRDefault="008A34F8" w:rsidP="00BD4CC9">
      <w:pPr>
        <w:pStyle w:val="Heading2"/>
        <w:jc w:val="center"/>
        <w:sectPr w:rsidR="008A34F8" w:rsidRPr="008A34F8" w:rsidSect="005722E6">
          <w:pgSz w:w="12240" w:h="15840"/>
          <w:pgMar w:top="288" w:right="1440" w:bottom="1440" w:left="1440" w:header="720" w:footer="720" w:gutter="0"/>
          <w:cols w:space="720"/>
          <w:docGrid w:linePitch="299"/>
        </w:sectPr>
      </w:pPr>
    </w:p>
    <w:p w:rsidR="008A34F8" w:rsidRDefault="008A34F8" w:rsidP="00BD4CC9">
      <w:pPr>
        <w:pStyle w:val="Heading2"/>
        <w:jc w:val="center"/>
      </w:pPr>
    </w:p>
    <w:p w:rsidR="00FB26A3" w:rsidRDefault="00FB26A3" w:rsidP="005722E6">
      <w:pPr>
        <w:pStyle w:val="BodyText"/>
        <w:spacing w:before="191"/>
        <w:ind w:left="119" w:right="713"/>
      </w:pPr>
      <w:r>
        <w:t xml:space="preserve">If you are a winner of the travel bursary for the noted event, you will be covered up to $500 for travel and accommodations as </w:t>
      </w:r>
      <w:r w:rsidRPr="005722E6">
        <w:rPr>
          <w:noProof/>
        </w:rPr>
        <w:t>outline</w:t>
      </w:r>
      <w:r w:rsidR="005722E6">
        <w:rPr>
          <w:noProof/>
        </w:rPr>
        <w:t>d</w:t>
      </w:r>
      <w:r>
        <w:t xml:space="preserve"> in this document.</w:t>
      </w:r>
    </w:p>
    <w:p w:rsidR="00DB4788" w:rsidRDefault="008A34F8" w:rsidP="005722E6">
      <w:pPr>
        <w:pStyle w:val="Heading1"/>
        <w:spacing w:before="193" w:line="240" w:lineRule="auto"/>
      </w:pPr>
      <w:r>
        <w:t>Transportation &amp; Allowable Expenses</w:t>
      </w:r>
    </w:p>
    <w:p w:rsidR="00DB4788" w:rsidRDefault="00FB18FC" w:rsidP="00FB18FC">
      <w:pPr>
        <w:pStyle w:val="BodyText"/>
        <w:ind w:left="119"/>
      </w:pPr>
      <w:r>
        <w:t>You are responsible for making your own airline bookings. Please book as far in advance to take advantage of the lowest fare possible.  You are also responsible for your own ground transportation to and from the airport.  Taxi service is available at the airport upon arrival.</w:t>
      </w:r>
    </w:p>
    <w:p w:rsidR="00DB4788" w:rsidRDefault="00DB4788" w:rsidP="005722E6">
      <w:pPr>
        <w:pStyle w:val="BodyText"/>
        <w:spacing w:before="2"/>
        <w:rPr>
          <w:sz w:val="21"/>
        </w:rPr>
      </w:pPr>
    </w:p>
    <w:p w:rsidR="00DB4788" w:rsidRDefault="008A34F8" w:rsidP="005722E6">
      <w:pPr>
        <w:pStyle w:val="Heading1"/>
        <w:spacing w:line="240" w:lineRule="auto"/>
      </w:pPr>
      <w:r>
        <w:t>Taxi Service</w:t>
      </w:r>
    </w:p>
    <w:p w:rsidR="00DB4788" w:rsidRDefault="008A34F8" w:rsidP="005722E6">
      <w:pPr>
        <w:pStyle w:val="BodyText"/>
        <w:ind w:left="120" w:hanging="1"/>
      </w:pPr>
      <w:r>
        <w:t xml:space="preserve">CSMLS will cover taxi service </w:t>
      </w:r>
      <w:r w:rsidR="00FB18FC">
        <w:t xml:space="preserve">between the </w:t>
      </w:r>
      <w:r>
        <w:t xml:space="preserve">Airport </w:t>
      </w:r>
      <w:r w:rsidR="00FB18FC">
        <w:t xml:space="preserve">and the </w:t>
      </w:r>
      <w:r>
        <w:t>Hotel (including gratuity, receipt required)</w:t>
      </w:r>
      <w:r w:rsidR="00FB18FC">
        <w:t xml:space="preserve"> up to $110</w:t>
      </w:r>
      <w:r>
        <w:t>. Please request a flat rate with the taxi service.</w:t>
      </w:r>
    </w:p>
    <w:p w:rsidR="00DB4788" w:rsidRDefault="00DB4788" w:rsidP="005722E6">
      <w:pPr>
        <w:pStyle w:val="BodyText"/>
        <w:spacing w:before="5"/>
        <w:rPr>
          <w:sz w:val="21"/>
        </w:rPr>
      </w:pPr>
    </w:p>
    <w:p w:rsidR="005722E6" w:rsidRDefault="008A34F8" w:rsidP="005722E6">
      <w:pPr>
        <w:pStyle w:val="BodyText"/>
        <w:ind w:left="120"/>
        <w:rPr>
          <w:rFonts w:ascii="Century Gothic"/>
          <w:b/>
        </w:rPr>
      </w:pPr>
      <w:r>
        <w:rPr>
          <w:rFonts w:ascii="Century Gothic"/>
          <w:b/>
        </w:rPr>
        <w:t>Travel (airline, train or bus)</w:t>
      </w:r>
    </w:p>
    <w:p w:rsidR="00DB4788" w:rsidRDefault="005722E6" w:rsidP="005722E6">
      <w:pPr>
        <w:pStyle w:val="BodyText"/>
        <w:ind w:left="120"/>
      </w:pPr>
      <w:r>
        <w:t>T</w:t>
      </w:r>
      <w:r w:rsidR="008A34F8">
        <w:t>he maximum allowable expense will be the lowest economy fare. CSMLS will cover the cost of standard seat fees. The purchase of upgraded seats or change fees must be approved in advance.</w:t>
      </w:r>
      <w:r w:rsidR="00FB18FC">
        <w:t xml:space="preserve"> </w:t>
      </w:r>
      <w:r w:rsidR="00FB18FC" w:rsidRPr="00FB18FC">
        <w:t>Airline Baggage Fee –</w:t>
      </w:r>
      <w:r w:rsidR="00FB18FC">
        <w:t xml:space="preserve"> </w:t>
      </w:r>
      <w:r w:rsidR="00FB18FC" w:rsidRPr="00FB18FC">
        <w:t xml:space="preserve">allowable </w:t>
      </w:r>
      <w:r w:rsidR="00FB18FC">
        <w:t xml:space="preserve">only for </w:t>
      </w:r>
      <w:r w:rsidR="00FB18FC" w:rsidRPr="00FB18FC">
        <w:t xml:space="preserve">meetings that are </w:t>
      </w:r>
      <w:proofErr w:type="gramStart"/>
      <w:r w:rsidR="00FB18FC" w:rsidRPr="00FB18FC">
        <w:t>three(</w:t>
      </w:r>
      <w:proofErr w:type="gramEnd"/>
      <w:r w:rsidR="00FB18FC" w:rsidRPr="00FB18FC">
        <w:t>3) or more days.</w:t>
      </w:r>
    </w:p>
    <w:p w:rsidR="00DB4788" w:rsidRDefault="00DB4788" w:rsidP="005722E6">
      <w:pPr>
        <w:pStyle w:val="BodyText"/>
        <w:spacing w:before="10"/>
      </w:pPr>
    </w:p>
    <w:p w:rsidR="005722E6" w:rsidRDefault="008A34F8" w:rsidP="005722E6">
      <w:pPr>
        <w:pStyle w:val="BodyText"/>
        <w:ind w:left="120"/>
        <w:rPr>
          <w:rFonts w:ascii="Century Gothic" w:hAnsi="Century Gothic"/>
          <w:b/>
        </w:rPr>
      </w:pPr>
      <w:r>
        <w:rPr>
          <w:rFonts w:ascii="Century Gothic" w:hAnsi="Century Gothic"/>
          <w:b/>
        </w:rPr>
        <w:t>Travel by Automobile</w:t>
      </w:r>
    </w:p>
    <w:p w:rsidR="00BD4CC9" w:rsidRDefault="008A34F8" w:rsidP="005722E6">
      <w:pPr>
        <w:pStyle w:val="BodyText"/>
        <w:ind w:left="120"/>
      </w:pPr>
      <w:r>
        <w:t>CSMLS provides an automobile allowance of $0.50/km.</w:t>
      </w:r>
      <w:r w:rsidR="00BD4CC9">
        <w:t xml:space="preserve"> Travel by automobile will only be covered by CSMLS for attendees who must travel more than 100 km </w:t>
      </w:r>
      <w:r w:rsidR="005722E6">
        <w:t xml:space="preserve">one-way </w:t>
      </w:r>
      <w:r w:rsidR="00BD4CC9">
        <w:t>to the event.</w:t>
      </w:r>
      <w:r w:rsidR="005722E6">
        <w:t xml:space="preserve"> </w:t>
      </w:r>
    </w:p>
    <w:p w:rsidR="00DB4788" w:rsidRDefault="00DB4788" w:rsidP="005722E6">
      <w:pPr>
        <w:pStyle w:val="BodyText"/>
        <w:spacing w:before="10"/>
      </w:pPr>
    </w:p>
    <w:p w:rsidR="005722E6" w:rsidRDefault="008A34F8" w:rsidP="005722E6">
      <w:pPr>
        <w:pStyle w:val="BodyText"/>
        <w:ind w:left="119"/>
        <w:rPr>
          <w:rFonts w:ascii="Century Gothic" w:hAnsi="Century Gothic"/>
          <w:b/>
        </w:rPr>
      </w:pPr>
      <w:r>
        <w:rPr>
          <w:rFonts w:ascii="Century Gothic" w:hAnsi="Century Gothic"/>
          <w:b/>
        </w:rPr>
        <w:t>Parking</w:t>
      </w:r>
    </w:p>
    <w:p w:rsidR="00DB4788" w:rsidRDefault="005722E6" w:rsidP="005722E6">
      <w:pPr>
        <w:pStyle w:val="BodyText"/>
        <w:ind w:left="119"/>
      </w:pPr>
      <w:r>
        <w:t>P</w:t>
      </w:r>
      <w:r w:rsidR="008A34F8">
        <w:t>arking costs incurred while attending the event will be covered (receipts required).</w:t>
      </w:r>
    </w:p>
    <w:p w:rsidR="00DB4788" w:rsidRDefault="00DB4788" w:rsidP="005722E6">
      <w:pPr>
        <w:pStyle w:val="BodyText"/>
        <w:spacing w:before="3"/>
        <w:rPr>
          <w:sz w:val="21"/>
        </w:rPr>
      </w:pPr>
    </w:p>
    <w:p w:rsidR="00DB4788" w:rsidRDefault="008A34F8" w:rsidP="005722E6">
      <w:pPr>
        <w:pStyle w:val="Heading1"/>
        <w:spacing w:line="240" w:lineRule="auto"/>
      </w:pPr>
      <w:r>
        <w:t>Hotel Expense</w:t>
      </w:r>
    </w:p>
    <w:p w:rsidR="008A34F8" w:rsidRDefault="008A34F8" w:rsidP="005722E6">
      <w:pPr>
        <w:pStyle w:val="BodyText"/>
        <w:ind w:left="120"/>
      </w:pPr>
      <w:r>
        <w:t xml:space="preserve">You are responsible for booking your own accommodations. Accommodation costs will only be covered by CSMLS for attendees who must travel more than </w:t>
      </w:r>
      <w:r w:rsidR="00FB18FC">
        <w:t>75</w:t>
      </w:r>
      <w:r w:rsidR="00BD4CC9">
        <w:t xml:space="preserve"> </w:t>
      </w:r>
      <w:r>
        <w:t>km to the event.</w:t>
      </w:r>
    </w:p>
    <w:p w:rsidR="00DB4788" w:rsidRDefault="008A34F8" w:rsidP="005722E6">
      <w:pPr>
        <w:pStyle w:val="BodyText"/>
        <w:spacing w:before="193"/>
        <w:ind w:left="120" w:right="96"/>
      </w:pPr>
      <w:r>
        <w:t>Any incidentals you incur during your stay will be charged directly to you. You are responsible to leave a security deposit for incidentals. The hotel requires a credit card or cash deposit.</w:t>
      </w:r>
    </w:p>
    <w:p w:rsidR="00DB4788" w:rsidRDefault="00DB4788" w:rsidP="005722E6">
      <w:pPr>
        <w:pStyle w:val="BodyText"/>
        <w:spacing w:before="3"/>
        <w:rPr>
          <w:sz w:val="21"/>
        </w:rPr>
      </w:pPr>
    </w:p>
    <w:p w:rsidR="00DB4788" w:rsidRDefault="008A34F8" w:rsidP="005722E6">
      <w:pPr>
        <w:pStyle w:val="Heading1"/>
        <w:spacing w:line="240" w:lineRule="auto"/>
      </w:pPr>
      <w:r>
        <w:t>Meals</w:t>
      </w:r>
    </w:p>
    <w:p w:rsidR="00DB4788" w:rsidRDefault="008A34F8" w:rsidP="005722E6">
      <w:pPr>
        <w:pStyle w:val="BodyText"/>
        <w:ind w:left="120"/>
      </w:pPr>
      <w:r>
        <w:t>Meals will not be covered by the travel bursary.</w:t>
      </w:r>
    </w:p>
    <w:p w:rsidR="00DB4788" w:rsidRDefault="00DB4788" w:rsidP="005722E6">
      <w:pPr>
        <w:pStyle w:val="BodyText"/>
        <w:spacing w:before="6"/>
        <w:rPr>
          <w:sz w:val="19"/>
        </w:rPr>
      </w:pPr>
    </w:p>
    <w:p w:rsidR="00DB4788" w:rsidRDefault="008A34F8" w:rsidP="005722E6">
      <w:pPr>
        <w:pStyle w:val="Heading1"/>
        <w:spacing w:line="240" w:lineRule="auto"/>
      </w:pPr>
      <w:r>
        <w:t>Receipts</w:t>
      </w:r>
    </w:p>
    <w:p w:rsidR="00DB4788" w:rsidRDefault="008A34F8" w:rsidP="005722E6">
      <w:pPr>
        <w:pStyle w:val="BodyText"/>
        <w:ind w:left="120" w:right="96"/>
      </w:pPr>
      <w:r>
        <w:t>Receipts are required for transportation (including ground) and hotel expense.</w:t>
      </w:r>
    </w:p>
    <w:p w:rsidR="00DB4788" w:rsidRDefault="00DB4788" w:rsidP="005722E6">
      <w:pPr>
        <w:pStyle w:val="BodyText"/>
        <w:spacing w:before="4"/>
        <w:rPr>
          <w:sz w:val="21"/>
        </w:rPr>
      </w:pPr>
    </w:p>
    <w:p w:rsidR="00DB4788" w:rsidRDefault="008A34F8" w:rsidP="005722E6">
      <w:pPr>
        <w:pStyle w:val="Heading1"/>
        <w:spacing w:before="1" w:line="240" w:lineRule="auto"/>
      </w:pPr>
      <w:r>
        <w:t>Submission of expenses</w:t>
      </w:r>
    </w:p>
    <w:p w:rsidR="00DB4788" w:rsidRDefault="008A34F8" w:rsidP="005722E6">
      <w:pPr>
        <w:pStyle w:val="BodyText"/>
        <w:ind w:left="120" w:right="96"/>
      </w:pPr>
      <w:r>
        <w:t>Expense</w:t>
      </w:r>
      <w:r w:rsidR="00FB18FC">
        <w:t>s</w:t>
      </w:r>
      <w:r>
        <w:t xml:space="preserve"> and receipts should be submitted as soon as possible after the event (within 2 weeks).</w:t>
      </w:r>
      <w:r w:rsidR="00FB18FC">
        <w:t xml:space="preserve"> An expense form will be made available to you after the meeting.</w:t>
      </w:r>
    </w:p>
    <w:p w:rsidR="00DB4788" w:rsidRDefault="00DB4788" w:rsidP="005722E6">
      <w:pPr>
        <w:pStyle w:val="BodyText"/>
        <w:spacing w:before="4"/>
        <w:rPr>
          <w:sz w:val="21"/>
        </w:rPr>
      </w:pPr>
    </w:p>
    <w:p w:rsidR="00DB4788" w:rsidRDefault="008A34F8" w:rsidP="005722E6">
      <w:pPr>
        <w:pStyle w:val="BodyText"/>
        <w:ind w:left="120" w:right="531"/>
        <w:jc w:val="both"/>
      </w:pPr>
      <w:r>
        <w:t>Receipts can be mailed, scanned and emailed, or faxed (905-528-4968). Originals are not required unless otherwise requested.</w:t>
      </w:r>
    </w:p>
    <w:p w:rsidR="00DB4788" w:rsidRDefault="00DB4788" w:rsidP="005722E6">
      <w:pPr>
        <w:pStyle w:val="BodyText"/>
        <w:spacing w:before="2"/>
        <w:rPr>
          <w:sz w:val="21"/>
        </w:rPr>
      </w:pPr>
    </w:p>
    <w:p w:rsidR="00DB4788" w:rsidRDefault="008A34F8" w:rsidP="005722E6">
      <w:pPr>
        <w:pStyle w:val="Heading1"/>
        <w:spacing w:line="240" w:lineRule="auto"/>
      </w:pPr>
      <w:r>
        <w:t>Eligibility for financial support</w:t>
      </w:r>
    </w:p>
    <w:p w:rsidR="00DB4788" w:rsidRDefault="008A34F8" w:rsidP="005722E6">
      <w:pPr>
        <w:pStyle w:val="BodyText"/>
        <w:ind w:left="120" w:right="96"/>
      </w:pPr>
      <w:r>
        <w:t>To be eligible for expenses, you are expected to attend the entire scheduled event. Any problems in complying with this should be discussed with the meeting organizer.</w:t>
      </w:r>
      <w:r w:rsidR="00FB26A3">
        <w:t xml:space="preserve"> </w:t>
      </w:r>
    </w:p>
    <w:sectPr w:rsidR="00DB4788" w:rsidSect="005722E6">
      <w:type w:val="continuous"/>
      <w:pgSz w:w="12240" w:h="15840"/>
      <w:pgMar w:top="144" w:right="677" w:bottom="0"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3EB"/>
    <w:multiLevelType w:val="hybridMultilevel"/>
    <w:tmpl w:val="38580F18"/>
    <w:lvl w:ilvl="0" w:tplc="48681D7C">
      <w:start w:val="2"/>
      <w:numFmt w:val="lowerLetter"/>
      <w:lvlText w:val="%1."/>
      <w:lvlJc w:val="left"/>
      <w:pPr>
        <w:ind w:left="4229" w:hanging="401"/>
        <w:jc w:val="left"/>
      </w:pPr>
      <w:rPr>
        <w:rFonts w:ascii="Rockwell" w:eastAsia="Rockwell" w:hAnsi="Rockwell" w:cs="Rockwell" w:hint="default"/>
        <w:spacing w:val="-1"/>
        <w:w w:val="99"/>
        <w:sz w:val="18"/>
        <w:szCs w:val="18"/>
      </w:rPr>
    </w:lvl>
    <w:lvl w:ilvl="1" w:tplc="60A61F30">
      <w:numFmt w:val="bullet"/>
      <w:lvlText w:val="•"/>
      <w:lvlJc w:val="left"/>
      <w:pPr>
        <w:ind w:left="4320" w:hanging="401"/>
      </w:pPr>
      <w:rPr>
        <w:rFonts w:hint="default"/>
      </w:rPr>
    </w:lvl>
    <w:lvl w:ilvl="2" w:tplc="C59C828C">
      <w:numFmt w:val="bullet"/>
      <w:lvlText w:val="•"/>
      <w:lvlJc w:val="left"/>
      <w:pPr>
        <w:ind w:left="5080" w:hanging="401"/>
      </w:pPr>
      <w:rPr>
        <w:rFonts w:hint="default"/>
      </w:rPr>
    </w:lvl>
    <w:lvl w:ilvl="3" w:tplc="B77220DC">
      <w:numFmt w:val="bullet"/>
      <w:lvlText w:val="•"/>
      <w:lvlJc w:val="left"/>
      <w:pPr>
        <w:ind w:left="5840" w:hanging="401"/>
      </w:pPr>
      <w:rPr>
        <w:rFonts w:hint="default"/>
      </w:rPr>
    </w:lvl>
    <w:lvl w:ilvl="4" w:tplc="0E3087DC">
      <w:numFmt w:val="bullet"/>
      <w:lvlText w:val="•"/>
      <w:lvlJc w:val="left"/>
      <w:pPr>
        <w:ind w:left="6600" w:hanging="401"/>
      </w:pPr>
      <w:rPr>
        <w:rFonts w:hint="default"/>
      </w:rPr>
    </w:lvl>
    <w:lvl w:ilvl="5" w:tplc="9B4C5ACE">
      <w:numFmt w:val="bullet"/>
      <w:lvlText w:val="•"/>
      <w:lvlJc w:val="left"/>
      <w:pPr>
        <w:ind w:left="7360" w:hanging="401"/>
      </w:pPr>
      <w:rPr>
        <w:rFonts w:hint="default"/>
      </w:rPr>
    </w:lvl>
    <w:lvl w:ilvl="6" w:tplc="13BEAF04">
      <w:numFmt w:val="bullet"/>
      <w:lvlText w:val="•"/>
      <w:lvlJc w:val="left"/>
      <w:pPr>
        <w:ind w:left="8120" w:hanging="401"/>
      </w:pPr>
      <w:rPr>
        <w:rFonts w:hint="default"/>
      </w:rPr>
    </w:lvl>
    <w:lvl w:ilvl="7" w:tplc="9F62E9C8">
      <w:numFmt w:val="bullet"/>
      <w:lvlText w:val="•"/>
      <w:lvlJc w:val="left"/>
      <w:pPr>
        <w:ind w:left="8880" w:hanging="401"/>
      </w:pPr>
      <w:rPr>
        <w:rFonts w:hint="default"/>
      </w:rPr>
    </w:lvl>
    <w:lvl w:ilvl="8" w:tplc="376E097A">
      <w:numFmt w:val="bullet"/>
      <w:lvlText w:val="•"/>
      <w:lvlJc w:val="left"/>
      <w:pPr>
        <w:ind w:left="9640"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0MrcwNzI1MTUytTBR0lEKTi0uzszPAykwrgUAPBqoTSwAAAA="/>
  </w:docVars>
  <w:rsids>
    <w:rsidRoot w:val="00DB4788"/>
    <w:rsid w:val="00043D64"/>
    <w:rsid w:val="00065E87"/>
    <w:rsid w:val="005722E6"/>
    <w:rsid w:val="008A34F8"/>
    <w:rsid w:val="00912941"/>
    <w:rsid w:val="00AF4948"/>
    <w:rsid w:val="00BD4CC9"/>
    <w:rsid w:val="00DB4788"/>
    <w:rsid w:val="00FB18FC"/>
    <w:rsid w:val="00FB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ckwell" w:eastAsia="Rockwell" w:hAnsi="Rockwell" w:cs="Rockwell"/>
    </w:rPr>
  </w:style>
  <w:style w:type="paragraph" w:styleId="Heading1">
    <w:name w:val="heading 1"/>
    <w:basedOn w:val="Normal"/>
    <w:uiPriority w:val="1"/>
    <w:qFormat/>
    <w:pPr>
      <w:spacing w:line="244" w:lineRule="exact"/>
      <w:ind w:left="120"/>
      <w:outlineLvl w:val="0"/>
    </w:pPr>
    <w:rPr>
      <w:rFonts w:ascii="Century Gothic" w:eastAsia="Century Gothic" w:hAnsi="Century Gothic" w:cs="Century Gothic"/>
      <w:b/>
      <w:bCs/>
      <w:sz w:val="20"/>
      <w:szCs w:val="20"/>
    </w:rPr>
  </w:style>
  <w:style w:type="paragraph" w:styleId="Heading2">
    <w:name w:val="heading 2"/>
    <w:basedOn w:val="Normal"/>
    <w:next w:val="Normal"/>
    <w:link w:val="Heading2Char"/>
    <w:uiPriority w:val="9"/>
    <w:unhideWhenUsed/>
    <w:qFormat/>
    <w:rsid w:val="00BD4C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5"/>
      <w:ind w:left="564" w:hanging="4065"/>
    </w:pPr>
  </w:style>
  <w:style w:type="paragraph" w:customStyle="1" w:styleId="TableParagraph">
    <w:name w:val="Table Paragraph"/>
    <w:basedOn w:val="Normal"/>
    <w:uiPriority w:val="1"/>
    <w:qFormat/>
    <w:pPr>
      <w:spacing w:before="12"/>
      <w:ind w:left="277"/>
    </w:pPr>
  </w:style>
  <w:style w:type="paragraph" w:styleId="BalloonText">
    <w:name w:val="Balloon Text"/>
    <w:basedOn w:val="Normal"/>
    <w:link w:val="BalloonTextChar"/>
    <w:uiPriority w:val="99"/>
    <w:semiHidden/>
    <w:unhideWhenUsed/>
    <w:rsid w:val="008A34F8"/>
    <w:rPr>
      <w:rFonts w:ascii="Tahoma" w:hAnsi="Tahoma" w:cs="Tahoma"/>
      <w:sz w:val="16"/>
      <w:szCs w:val="16"/>
    </w:rPr>
  </w:style>
  <w:style w:type="character" w:customStyle="1" w:styleId="BalloonTextChar">
    <w:name w:val="Balloon Text Char"/>
    <w:basedOn w:val="DefaultParagraphFont"/>
    <w:link w:val="BalloonText"/>
    <w:uiPriority w:val="99"/>
    <w:semiHidden/>
    <w:rsid w:val="008A34F8"/>
    <w:rPr>
      <w:rFonts w:ascii="Tahoma" w:eastAsia="Rockwell" w:hAnsi="Tahoma" w:cs="Tahoma"/>
      <w:sz w:val="16"/>
      <w:szCs w:val="16"/>
    </w:rPr>
  </w:style>
  <w:style w:type="character" w:customStyle="1" w:styleId="Heading2Char">
    <w:name w:val="Heading 2 Char"/>
    <w:basedOn w:val="DefaultParagraphFont"/>
    <w:link w:val="Heading2"/>
    <w:uiPriority w:val="9"/>
    <w:rsid w:val="00BD4CC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ckwell" w:eastAsia="Rockwell" w:hAnsi="Rockwell" w:cs="Rockwell"/>
    </w:rPr>
  </w:style>
  <w:style w:type="paragraph" w:styleId="Heading1">
    <w:name w:val="heading 1"/>
    <w:basedOn w:val="Normal"/>
    <w:uiPriority w:val="1"/>
    <w:qFormat/>
    <w:pPr>
      <w:spacing w:line="244" w:lineRule="exact"/>
      <w:ind w:left="120"/>
      <w:outlineLvl w:val="0"/>
    </w:pPr>
    <w:rPr>
      <w:rFonts w:ascii="Century Gothic" w:eastAsia="Century Gothic" w:hAnsi="Century Gothic" w:cs="Century Gothic"/>
      <w:b/>
      <w:bCs/>
      <w:sz w:val="20"/>
      <w:szCs w:val="20"/>
    </w:rPr>
  </w:style>
  <w:style w:type="paragraph" w:styleId="Heading2">
    <w:name w:val="heading 2"/>
    <w:basedOn w:val="Normal"/>
    <w:next w:val="Normal"/>
    <w:link w:val="Heading2Char"/>
    <w:uiPriority w:val="9"/>
    <w:unhideWhenUsed/>
    <w:qFormat/>
    <w:rsid w:val="00BD4C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5"/>
      <w:ind w:left="564" w:hanging="4065"/>
    </w:pPr>
  </w:style>
  <w:style w:type="paragraph" w:customStyle="1" w:styleId="TableParagraph">
    <w:name w:val="Table Paragraph"/>
    <w:basedOn w:val="Normal"/>
    <w:uiPriority w:val="1"/>
    <w:qFormat/>
    <w:pPr>
      <w:spacing w:before="12"/>
      <w:ind w:left="277"/>
    </w:pPr>
  </w:style>
  <w:style w:type="paragraph" w:styleId="BalloonText">
    <w:name w:val="Balloon Text"/>
    <w:basedOn w:val="Normal"/>
    <w:link w:val="BalloonTextChar"/>
    <w:uiPriority w:val="99"/>
    <w:semiHidden/>
    <w:unhideWhenUsed/>
    <w:rsid w:val="008A34F8"/>
    <w:rPr>
      <w:rFonts w:ascii="Tahoma" w:hAnsi="Tahoma" w:cs="Tahoma"/>
      <w:sz w:val="16"/>
      <w:szCs w:val="16"/>
    </w:rPr>
  </w:style>
  <w:style w:type="character" w:customStyle="1" w:styleId="BalloonTextChar">
    <w:name w:val="Balloon Text Char"/>
    <w:basedOn w:val="DefaultParagraphFont"/>
    <w:link w:val="BalloonText"/>
    <w:uiPriority w:val="99"/>
    <w:semiHidden/>
    <w:rsid w:val="008A34F8"/>
    <w:rPr>
      <w:rFonts w:ascii="Tahoma" w:eastAsia="Rockwell" w:hAnsi="Tahoma" w:cs="Tahoma"/>
      <w:sz w:val="16"/>
      <w:szCs w:val="16"/>
    </w:rPr>
  </w:style>
  <w:style w:type="character" w:customStyle="1" w:styleId="Heading2Char">
    <w:name w:val="Heading 2 Char"/>
    <w:basedOn w:val="DefaultParagraphFont"/>
    <w:link w:val="Heading2"/>
    <w:uiPriority w:val="9"/>
    <w:rsid w:val="00BD4C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Kartik Desai</cp:lastModifiedBy>
  <cp:revision>1</cp:revision>
  <dcterms:created xsi:type="dcterms:W3CDTF">2018-09-25T14:58:00Z</dcterms:created>
  <dcterms:modified xsi:type="dcterms:W3CDTF">2018-09-25T14:58:00Z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PScript5.dll Version 5.2.2</vt:lpwstr>
  </property>
  <property fmtid="{D5CDD505-2E9C-101B-9397-08002B2CF9AE}" pid="4" name="LastSaved">
    <vt:filetime>2017-03-04T00:00:00Z</vt:filetime>
  </property>
</Properties>
</file>